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218B" w14:textId="77777777" w:rsidR="00ED1319" w:rsidRPr="00ED1319" w:rsidRDefault="00ED1319" w:rsidP="00ED1319">
      <w:pPr>
        <w:jc w:val="center"/>
        <w:rPr>
          <w:rFonts w:ascii="Arial" w:hAnsi="Arial" w:cs="Arial"/>
          <w:b/>
          <w:bCs/>
          <w:color w:val="7030A0"/>
          <w:sz w:val="24"/>
          <w:szCs w:val="24"/>
        </w:rPr>
      </w:pPr>
      <w:r w:rsidRPr="00ED1319">
        <w:rPr>
          <w:rFonts w:ascii="Arial" w:hAnsi="Arial" w:cs="Arial"/>
          <w:b/>
          <w:bCs/>
          <w:color w:val="7030A0"/>
          <w:sz w:val="24"/>
          <w:szCs w:val="24"/>
        </w:rPr>
        <w:t>Polský návrh zákona o udržitelném rozvoji měst</w:t>
      </w:r>
    </w:p>
    <w:p w14:paraId="530BAFAE" w14:textId="40434FD1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Stav legislativního procesu</w:t>
      </w:r>
    </w:p>
    <w:p w14:paraId="025F8C6B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Polský „zákon o udržitelném rozvoji měst“ není v současnosti účinným zákonem, ale </w:t>
      </w:r>
      <w:r w:rsidRPr="00ED1319">
        <w:rPr>
          <w:rFonts w:ascii="Arial" w:hAnsi="Arial" w:cs="Arial"/>
          <w:b/>
          <w:bCs/>
        </w:rPr>
        <w:t>vládním návrhem zákona</w:t>
      </w:r>
      <w:r w:rsidRPr="00ED1319">
        <w:rPr>
          <w:rFonts w:ascii="Arial" w:hAnsi="Arial" w:cs="Arial"/>
        </w:rPr>
        <w:t xml:space="preserve">, který připravuje Ministerstvo fondů a regionální politiky pod evidenčním číslem </w:t>
      </w:r>
      <w:r w:rsidRPr="00ED1319">
        <w:rPr>
          <w:rFonts w:ascii="Arial" w:hAnsi="Arial" w:cs="Arial"/>
          <w:b/>
          <w:bCs/>
        </w:rPr>
        <w:t>UPRO3</w:t>
      </w:r>
      <w:r w:rsidRPr="00ED1319">
        <w:rPr>
          <w:rFonts w:ascii="Arial" w:hAnsi="Arial" w:cs="Arial"/>
        </w:rPr>
        <w:t xml:space="preserve">. Následující popis proto vychází především z návrhu ze dne 30. ledna 2026, zveřejněného 2. února 2026. Tato verze obsahuje 110 článků rozdělených do čtyř částí a přílohu se seznamem 82 měst, na něž se má nová úprava vztahovat. V únoru 2026 proběhly veřejné konzultace a upravený návrh byl následně předán do meziresortního připomínkového řízení. Nejnovější jednoznačně doložené oficiální informace jej stále označují za návrh, který dosud neprošel parlamentním legislativním procesem. </w:t>
      </w:r>
    </w:p>
    <w:p w14:paraId="269A8F0F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Přijetí nového zákona souvisí s dřívější novelou polského zákona ze dne 6. prosince 2006 o zásadách provádění rozvojové politiky. Jeho kapitola </w:t>
      </w:r>
      <w:proofErr w:type="gramStart"/>
      <w:r w:rsidRPr="00ED1319">
        <w:rPr>
          <w:rFonts w:ascii="Arial" w:hAnsi="Arial" w:cs="Arial"/>
        </w:rPr>
        <w:t>3a</w:t>
      </w:r>
      <w:proofErr w:type="gramEnd"/>
      <w:r w:rsidRPr="00ED1319">
        <w:rPr>
          <w:rFonts w:ascii="Arial" w:hAnsi="Arial" w:cs="Arial"/>
        </w:rPr>
        <w:t xml:space="preserve">, která nyní obsahuje obecnou úpravu městské politiky, má být k 1. lednu 2027 zrušena. </w:t>
      </w:r>
      <w:r w:rsidRPr="00ED1319">
        <w:rPr>
          <w:rFonts w:ascii="Arial" w:hAnsi="Arial" w:cs="Arial"/>
          <w:highlight w:val="yellow"/>
        </w:rPr>
        <w:t>Nový zákon má tuto poměrně stručnou úpravu nahradit komplexním systémem řízení rozvoje měst a jejich funkčních území.</w:t>
      </w:r>
      <w:r w:rsidRPr="00ED1319">
        <w:rPr>
          <w:rFonts w:ascii="Arial" w:hAnsi="Arial" w:cs="Arial"/>
        </w:rPr>
        <w:t xml:space="preserve"> Návrh proto předpokládá, že nový zákon vstoupí v účinnost 1. ledna 2027, dodržení tohoto termínu však závisí na dalším průběhu legislativního procesu. </w:t>
      </w:r>
    </w:p>
    <w:p w14:paraId="126EF00C" w14:textId="77777777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Účel a koncepce zákona</w:t>
      </w:r>
    </w:p>
    <w:p w14:paraId="44FBAC50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  <w:highlight w:val="yellow"/>
        </w:rPr>
        <w:t xml:space="preserve">Základním cílem návrhu je přenést městskou politiku z úrovně jednotlivého administrativně vymezeného města na úroveň jeho </w:t>
      </w:r>
      <w:r w:rsidRPr="00ED1319">
        <w:rPr>
          <w:rFonts w:ascii="Arial" w:hAnsi="Arial" w:cs="Arial"/>
          <w:b/>
          <w:bCs/>
          <w:highlight w:val="yellow"/>
        </w:rPr>
        <w:t>městského funkčního území</w:t>
      </w:r>
      <w:r w:rsidRPr="00ED1319">
        <w:rPr>
          <w:rFonts w:ascii="Arial" w:hAnsi="Arial" w:cs="Arial"/>
          <w:highlight w:val="yellow"/>
        </w:rPr>
        <w:t>.</w:t>
      </w:r>
      <w:r w:rsidRPr="00ED1319">
        <w:rPr>
          <w:rFonts w:ascii="Arial" w:hAnsi="Arial" w:cs="Arial"/>
        </w:rPr>
        <w:t xml:space="preserve"> Polský návrh reaguje na skutečnost, že každodenní dojížďka, veřejná doprava, bydlení, suburbanizace, ochrana životního prostředí, technická infrastruktura a hospodářský rozvoj zpravidla překračují hranice jednotlivých obcí a okresů. </w:t>
      </w:r>
      <w:r w:rsidRPr="00B6377F">
        <w:rPr>
          <w:rFonts w:ascii="Arial" w:hAnsi="Arial" w:cs="Arial"/>
          <w:highlight w:val="cyan"/>
        </w:rPr>
        <w:t>Současné formy spolupráce, například meziobecní svazky, dohody, sdružení samospráv nebo integrované územní investice, podle polské vlády neposkytují dostatečně stabilní rámec pro dlouhodobé a integrované řízení celého funkčního území.</w:t>
      </w:r>
      <w:r w:rsidRPr="00ED1319">
        <w:rPr>
          <w:rFonts w:ascii="Arial" w:hAnsi="Arial" w:cs="Arial"/>
        </w:rPr>
        <w:t xml:space="preserve"> </w:t>
      </w:r>
    </w:p>
    <w:p w14:paraId="060E5C7F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Městská politika je v návrhu chápána jako soubor právních, finančních a plánovacích opatření směřujících k udržitelnému rozvoji měst a jejich funkčních území. Má podporovat polycentrickou sídelní strukturu Polska, hospodářský růst, vytváření pracovních míst, dostupnost veřejných služeb a kvalitu života při respektování životního prostředí. </w:t>
      </w:r>
      <w:r w:rsidRPr="00B6377F">
        <w:rPr>
          <w:rFonts w:ascii="Arial" w:hAnsi="Arial" w:cs="Arial"/>
          <w:highlight w:val="yellow"/>
        </w:rPr>
        <w:t xml:space="preserve">Návrh má zahrnovat města různé velikosti – nejen největší metropole, ale také regionální a </w:t>
      </w:r>
      <w:proofErr w:type="spellStart"/>
      <w:r w:rsidRPr="00B6377F">
        <w:rPr>
          <w:rFonts w:ascii="Arial" w:hAnsi="Arial" w:cs="Arial"/>
          <w:highlight w:val="yellow"/>
        </w:rPr>
        <w:t>subregionální</w:t>
      </w:r>
      <w:proofErr w:type="spellEnd"/>
      <w:r w:rsidRPr="00B6377F">
        <w:rPr>
          <w:rFonts w:ascii="Arial" w:hAnsi="Arial" w:cs="Arial"/>
          <w:highlight w:val="yellow"/>
        </w:rPr>
        <w:t xml:space="preserve"> centra, která zajišťují služby pro širší území.</w:t>
      </w:r>
      <w:r w:rsidRPr="00ED1319">
        <w:rPr>
          <w:rFonts w:ascii="Arial" w:hAnsi="Arial" w:cs="Arial"/>
        </w:rPr>
        <w:t xml:space="preserve"> </w:t>
      </w:r>
    </w:p>
    <w:p w14:paraId="6FFF2909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green"/>
        </w:rPr>
        <w:t>Zákon nemá měnit hranice obcí, okresů ani vojvodství a nezavádí nový obecný stupeň územní samosprávy.</w:t>
      </w:r>
      <w:r w:rsidRPr="00ED1319">
        <w:rPr>
          <w:rFonts w:ascii="Arial" w:hAnsi="Arial" w:cs="Arial"/>
        </w:rPr>
        <w:t xml:space="preserve"> </w:t>
      </w:r>
      <w:r w:rsidRPr="00B6377F">
        <w:rPr>
          <w:rFonts w:ascii="Arial" w:hAnsi="Arial" w:cs="Arial"/>
          <w:highlight w:val="yellow"/>
        </w:rPr>
        <w:t>Vytváří však novou organizační a koordinační strukturu, prostřednictvím níž mohou samosprávy společně plánovat a vykonávat vybrané veřejné úkoly v území, které fakticky funguje jako jeden sociální, ekonomický a dopravní celek.</w:t>
      </w:r>
      <w:r w:rsidRPr="00ED1319">
        <w:rPr>
          <w:rFonts w:ascii="Arial" w:hAnsi="Arial" w:cs="Arial"/>
        </w:rPr>
        <w:t xml:space="preserve"> </w:t>
      </w:r>
    </w:p>
    <w:p w14:paraId="2AD62140" w14:textId="77777777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Rozvojový svazek</w:t>
      </w:r>
    </w:p>
    <w:p w14:paraId="73C66C23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green"/>
        </w:rPr>
        <w:t xml:space="preserve">Nejvýznamnější novinkou je </w:t>
      </w:r>
      <w:r w:rsidRPr="00B6377F">
        <w:rPr>
          <w:rFonts w:ascii="Arial" w:hAnsi="Arial" w:cs="Arial"/>
          <w:b/>
          <w:bCs/>
          <w:highlight w:val="green"/>
        </w:rPr>
        <w:t xml:space="preserve">rozvojový svazek – </w:t>
      </w:r>
      <w:proofErr w:type="spellStart"/>
      <w:r w:rsidRPr="00B6377F">
        <w:rPr>
          <w:rFonts w:ascii="Arial" w:hAnsi="Arial" w:cs="Arial"/>
          <w:b/>
          <w:bCs/>
          <w:highlight w:val="green"/>
        </w:rPr>
        <w:t>związek</w:t>
      </w:r>
      <w:proofErr w:type="spellEnd"/>
      <w:r w:rsidRPr="00B6377F">
        <w:rPr>
          <w:rFonts w:ascii="Arial" w:hAnsi="Arial" w:cs="Arial"/>
          <w:b/>
          <w:bCs/>
          <w:highlight w:val="green"/>
        </w:rPr>
        <w:t xml:space="preserve"> </w:t>
      </w:r>
      <w:proofErr w:type="spellStart"/>
      <w:r w:rsidRPr="00B6377F">
        <w:rPr>
          <w:rFonts w:ascii="Arial" w:hAnsi="Arial" w:cs="Arial"/>
          <w:b/>
          <w:bCs/>
          <w:highlight w:val="green"/>
        </w:rPr>
        <w:t>rozwojowy</w:t>
      </w:r>
      <w:proofErr w:type="spellEnd"/>
      <w:r w:rsidRPr="00B6377F">
        <w:rPr>
          <w:rFonts w:ascii="Arial" w:hAnsi="Arial" w:cs="Arial"/>
          <w:highlight w:val="green"/>
        </w:rPr>
        <w:t>.</w:t>
      </w:r>
      <w:r w:rsidRPr="00ED1319">
        <w:rPr>
          <w:rFonts w:ascii="Arial" w:hAnsi="Arial" w:cs="Arial"/>
        </w:rPr>
        <w:t xml:space="preserve"> Má jít o sdružení centrálního města a obcí, případně obcí a okresů, které jsou s tímto městem funkčně propojené. Území svazku musí být prostorově souvislé. U polycentrických oblastí má být možné vytvořit jeden svazek kolem dvou nebo tří srovnatelných centrálních měst, pokud to odpovídá sídelní struktuře a skutečným dopravním, hospodářským a prostorovým vazbám. </w:t>
      </w:r>
    </w:p>
    <w:p w14:paraId="1E2F7D64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yellow"/>
        </w:rPr>
        <w:t>Rozvojový svazek má mít právní osobnost, vlastní majetek a vlastní příjmy a má vykonávat veřejné úkoly vlastním jménem a na vlastní odpovědnost.</w:t>
      </w:r>
      <w:r w:rsidRPr="00ED1319">
        <w:rPr>
          <w:rFonts w:ascii="Arial" w:hAnsi="Arial" w:cs="Arial"/>
        </w:rPr>
        <w:t xml:space="preserve"> Vedle úkolů přímo stanovených zákonem může převzít také další úkoly, které mu svěří členské obce a okresy. Návrh tak překračuje rámec pouhé konzultační platformy: </w:t>
      </w:r>
      <w:r w:rsidRPr="00B6377F">
        <w:rPr>
          <w:rFonts w:ascii="Arial" w:hAnsi="Arial" w:cs="Arial"/>
          <w:highlight w:val="yellow"/>
        </w:rPr>
        <w:t xml:space="preserve">svazek má být způsobilý přijímat rozhodnutí, </w:t>
      </w:r>
      <w:r w:rsidRPr="00B6377F">
        <w:rPr>
          <w:rFonts w:ascii="Arial" w:hAnsi="Arial" w:cs="Arial"/>
          <w:highlight w:val="yellow"/>
        </w:rPr>
        <w:lastRenderedPageBreak/>
        <w:t>provozovat veřejné služby, disponovat majetkem, zakládat nebo přebírat organizační jednotky a realizovat společné investice.</w:t>
      </w:r>
      <w:r w:rsidRPr="00ED1319">
        <w:rPr>
          <w:rFonts w:ascii="Arial" w:hAnsi="Arial" w:cs="Arial"/>
        </w:rPr>
        <w:t xml:space="preserve"> </w:t>
      </w:r>
    </w:p>
    <w:p w14:paraId="1EEA36C7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green"/>
        </w:rPr>
        <w:t>Vznik konkrétního svazku by byl završen nařízením Rady ministrů.</w:t>
      </w:r>
      <w:r w:rsidRPr="00ED1319">
        <w:rPr>
          <w:rFonts w:ascii="Arial" w:hAnsi="Arial" w:cs="Arial"/>
        </w:rPr>
        <w:t xml:space="preserve"> Návrh současně umožňuje navázat na již existující formy spolupráce, například sdružení samospráv nebo meziobecní či obecně-okresní svazky, aby nebylo nutné rušit dosavadní institucionální kapacity, pracovní týmy, majetek a rozpracované projekty. </w:t>
      </w:r>
      <w:r w:rsidRPr="00B6377F">
        <w:rPr>
          <w:rFonts w:ascii="Arial" w:hAnsi="Arial" w:cs="Arial"/>
          <w:highlight w:val="yellow"/>
        </w:rPr>
        <w:t>Přípravnou roli má plnit zmocněnec, zpravidla výkonný orgán centrálního města.</w:t>
      </w:r>
      <w:r w:rsidRPr="00ED1319">
        <w:rPr>
          <w:rFonts w:ascii="Arial" w:hAnsi="Arial" w:cs="Arial"/>
        </w:rPr>
        <w:t xml:space="preserve"> </w:t>
      </w:r>
    </w:p>
    <w:p w14:paraId="1A4434C8" w14:textId="77777777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Orgány a rozhodování</w:t>
      </w:r>
    </w:p>
    <w:p w14:paraId="45A990E2" w14:textId="77777777" w:rsidR="00ED1319" w:rsidRPr="00ED1319" w:rsidRDefault="00ED1319" w:rsidP="00ED1319">
      <w:pPr>
        <w:spacing w:after="120"/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yellow"/>
        </w:rPr>
        <w:t>Základními orgány rozvojového svazku mají být:</w:t>
      </w:r>
    </w:p>
    <w:p w14:paraId="1527F8BC" w14:textId="77777777" w:rsidR="00ED1319" w:rsidRPr="00B6377F" w:rsidRDefault="00ED1319" w:rsidP="00ED1319">
      <w:pPr>
        <w:numPr>
          <w:ilvl w:val="0"/>
          <w:numId w:val="1"/>
        </w:numPr>
        <w:spacing w:after="60"/>
        <w:jc w:val="both"/>
        <w:rPr>
          <w:rFonts w:ascii="Arial" w:hAnsi="Arial" w:cs="Arial"/>
          <w:highlight w:val="yellow"/>
        </w:rPr>
      </w:pPr>
      <w:r w:rsidRPr="00B6377F">
        <w:rPr>
          <w:rFonts w:ascii="Arial" w:hAnsi="Arial" w:cs="Arial"/>
          <w:b/>
          <w:bCs/>
          <w:highlight w:val="yellow"/>
        </w:rPr>
        <w:t>shromáždění svazku</w:t>
      </w:r>
      <w:r w:rsidRPr="00B6377F">
        <w:rPr>
          <w:rFonts w:ascii="Arial" w:hAnsi="Arial" w:cs="Arial"/>
          <w:highlight w:val="yellow"/>
        </w:rPr>
        <w:t xml:space="preserve">, složené ze zástupců členských samospráv; </w:t>
      </w:r>
    </w:p>
    <w:p w14:paraId="397DF47A" w14:textId="77777777" w:rsidR="00ED1319" w:rsidRPr="00B6377F" w:rsidRDefault="00ED1319" w:rsidP="00ED1319">
      <w:pPr>
        <w:numPr>
          <w:ilvl w:val="0"/>
          <w:numId w:val="1"/>
        </w:numPr>
        <w:spacing w:after="60"/>
        <w:jc w:val="both"/>
        <w:rPr>
          <w:rFonts w:ascii="Arial" w:hAnsi="Arial" w:cs="Arial"/>
          <w:highlight w:val="yellow"/>
        </w:rPr>
      </w:pPr>
      <w:r w:rsidRPr="00B6377F">
        <w:rPr>
          <w:rFonts w:ascii="Arial" w:hAnsi="Arial" w:cs="Arial"/>
          <w:b/>
          <w:bCs/>
          <w:highlight w:val="yellow"/>
        </w:rPr>
        <w:t>výkonný orgán</w:t>
      </w:r>
      <w:r w:rsidRPr="00B6377F">
        <w:rPr>
          <w:rFonts w:ascii="Arial" w:hAnsi="Arial" w:cs="Arial"/>
          <w:highlight w:val="yellow"/>
        </w:rPr>
        <w:t xml:space="preserve">, jehož název, složení a způsob ustanovení upraví statut; </w:t>
      </w:r>
    </w:p>
    <w:p w14:paraId="3018BE4B" w14:textId="77777777" w:rsidR="00ED1319" w:rsidRPr="00B6377F" w:rsidRDefault="00ED1319" w:rsidP="00ED1319">
      <w:pPr>
        <w:numPr>
          <w:ilvl w:val="0"/>
          <w:numId w:val="1"/>
        </w:numPr>
        <w:jc w:val="both"/>
        <w:rPr>
          <w:rFonts w:ascii="Arial" w:hAnsi="Arial" w:cs="Arial"/>
          <w:highlight w:val="yellow"/>
        </w:rPr>
      </w:pPr>
      <w:r w:rsidRPr="00B6377F">
        <w:rPr>
          <w:rFonts w:ascii="Arial" w:hAnsi="Arial" w:cs="Arial"/>
          <w:b/>
          <w:bCs/>
          <w:highlight w:val="yellow"/>
        </w:rPr>
        <w:t>výbor pro rozvoj</w:t>
      </w:r>
      <w:r w:rsidRPr="00B6377F">
        <w:rPr>
          <w:rFonts w:ascii="Arial" w:hAnsi="Arial" w:cs="Arial"/>
          <w:highlight w:val="yellow"/>
        </w:rPr>
        <w:t xml:space="preserve">, který má formovat politiku rozvoje území svazku. </w:t>
      </w:r>
    </w:p>
    <w:p w14:paraId="40491225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Podrobnosti o vnitřní organizaci mají být ponechány statutu, aby se jednotlivé modely mohly přizpůsobit velikosti, polycentrickému charakteru a místním podmínkám dané oblasti. Současně mají být zachována procesní pravidla, která zabrání tomu, aby centrální město jednostranně ovládlo menší členské obce. Návrh obsahuje také mechanismy zapojení obyvatel a nestátních neziskových organizací, což má posílit demokratickou legitimitu svazku. </w:t>
      </w:r>
    </w:p>
    <w:p w14:paraId="4E49F98C" w14:textId="77777777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Úkoly rozvojového svazku</w:t>
      </w:r>
    </w:p>
    <w:p w14:paraId="06F73D1D" w14:textId="77777777" w:rsidR="00ED1319" w:rsidRPr="00ED1319" w:rsidRDefault="00ED1319" w:rsidP="00ED1319">
      <w:pPr>
        <w:spacing w:after="12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>Povinné nebo základní oblasti činnosti svazku mají zahrnovat zejména:</w:t>
      </w:r>
    </w:p>
    <w:p w14:paraId="55F03F6D" w14:textId="77777777" w:rsidR="00ED1319" w:rsidRPr="00ED1319" w:rsidRDefault="00ED1319" w:rsidP="00ED1319">
      <w:pPr>
        <w:numPr>
          <w:ilvl w:val="0"/>
          <w:numId w:val="2"/>
        </w:numPr>
        <w:spacing w:after="6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integrované strategické a územní plánování; </w:t>
      </w:r>
    </w:p>
    <w:p w14:paraId="7CBE13C8" w14:textId="77777777" w:rsidR="00ED1319" w:rsidRPr="00ED1319" w:rsidRDefault="00ED1319" w:rsidP="00ED1319">
      <w:pPr>
        <w:numPr>
          <w:ilvl w:val="0"/>
          <w:numId w:val="2"/>
        </w:numPr>
        <w:spacing w:after="6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organizaci veřejné dopravy; </w:t>
      </w:r>
    </w:p>
    <w:p w14:paraId="2309E209" w14:textId="77777777" w:rsidR="00ED1319" w:rsidRPr="00ED1319" w:rsidRDefault="00ED1319" w:rsidP="00ED1319">
      <w:pPr>
        <w:numPr>
          <w:ilvl w:val="0"/>
          <w:numId w:val="2"/>
        </w:numPr>
        <w:spacing w:after="6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městskou mobilitu; </w:t>
      </w:r>
    </w:p>
    <w:p w14:paraId="4D3128D8" w14:textId="77777777" w:rsidR="00ED1319" w:rsidRPr="00ED1319" w:rsidRDefault="00ED1319" w:rsidP="00ED1319">
      <w:pPr>
        <w:numPr>
          <w:ilvl w:val="0"/>
          <w:numId w:val="2"/>
        </w:numPr>
        <w:spacing w:after="6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ochranu životního prostředí a adaptaci na změnu klimatu; </w:t>
      </w:r>
    </w:p>
    <w:p w14:paraId="71F8BB6F" w14:textId="77777777" w:rsidR="00ED1319" w:rsidRPr="00ED1319" w:rsidRDefault="00ED1319" w:rsidP="00ED1319">
      <w:pPr>
        <w:numPr>
          <w:ilvl w:val="0"/>
          <w:numId w:val="2"/>
        </w:numPr>
        <w:spacing w:after="60"/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koordinaci významných rozvojových projektů; </w:t>
      </w:r>
    </w:p>
    <w:p w14:paraId="6E3B90C6" w14:textId="77777777" w:rsidR="00ED1319" w:rsidRPr="00ED1319" w:rsidRDefault="00ED1319" w:rsidP="00ED131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propagaci a hospodářský rozvoj společného území. </w:t>
      </w:r>
    </w:p>
    <w:p w14:paraId="7E2DFB14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magenta"/>
        </w:rPr>
        <w:t>Rozvojový svazek má být současně vhodnou institucionální strukturou pro provádění integrovaných územních nástrojů financovaných z evropských fondů po roce 2028.</w:t>
      </w:r>
      <w:r w:rsidRPr="00ED1319">
        <w:rPr>
          <w:rFonts w:ascii="Arial" w:hAnsi="Arial" w:cs="Arial"/>
        </w:rPr>
        <w:t xml:space="preserve"> </w:t>
      </w:r>
      <w:r w:rsidRPr="00B6377F">
        <w:rPr>
          <w:rFonts w:ascii="Arial" w:hAnsi="Arial" w:cs="Arial"/>
          <w:highlight w:val="yellow"/>
        </w:rPr>
        <w:t>Záměrem je odstranit stav, kdy jsou jednotlivé evropské projekty realizovány prostřednictvím integrovaných územních investic, ale nejsou dostatečně propojeny s celkovou dlouhodobou vizí rozvoje funkčního území.</w:t>
      </w:r>
      <w:r w:rsidRPr="00ED1319">
        <w:rPr>
          <w:rFonts w:ascii="Arial" w:hAnsi="Arial" w:cs="Arial"/>
        </w:rPr>
        <w:t xml:space="preserve"> </w:t>
      </w:r>
    </w:p>
    <w:p w14:paraId="450637E9" w14:textId="77777777" w:rsidR="00ED1319" w:rsidRPr="00ED1319" w:rsidRDefault="00ED1319" w:rsidP="00ED1319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ED1319">
        <w:rPr>
          <w:rFonts w:ascii="Arial" w:hAnsi="Arial" w:cs="Arial"/>
          <w:b/>
          <w:bCs/>
          <w:color w:val="7030A0"/>
        </w:rPr>
        <w:t>Karta rozvoje a další plánovací dokumenty</w:t>
      </w:r>
    </w:p>
    <w:p w14:paraId="1A9BB30C" w14:textId="77777777" w:rsidR="00ED1319" w:rsidRPr="00ED1319" w:rsidRDefault="00ED1319" w:rsidP="00ED1319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green"/>
        </w:rPr>
        <w:t xml:space="preserve">Klíčovým novým nástrojem má být </w:t>
      </w:r>
      <w:r w:rsidRPr="00B6377F">
        <w:rPr>
          <w:rFonts w:ascii="Arial" w:hAnsi="Arial" w:cs="Arial"/>
          <w:b/>
          <w:bCs/>
          <w:highlight w:val="green"/>
        </w:rPr>
        <w:t xml:space="preserve">Karta rozvoje – Karta </w:t>
      </w:r>
      <w:proofErr w:type="spellStart"/>
      <w:r w:rsidRPr="00B6377F">
        <w:rPr>
          <w:rFonts w:ascii="Arial" w:hAnsi="Arial" w:cs="Arial"/>
          <w:b/>
          <w:bCs/>
          <w:highlight w:val="green"/>
        </w:rPr>
        <w:t>Rozwoju</w:t>
      </w:r>
      <w:proofErr w:type="spellEnd"/>
      <w:r w:rsidRPr="00ED1319">
        <w:rPr>
          <w:rFonts w:ascii="Arial" w:hAnsi="Arial" w:cs="Arial"/>
        </w:rPr>
        <w:t xml:space="preserve">. Půjde o dokument dohodnutý mezi rozvojovým svazkem, státem a samosprávou příslušného vojvodství. </w:t>
      </w:r>
      <w:r w:rsidRPr="00B6377F">
        <w:rPr>
          <w:rFonts w:ascii="Arial" w:hAnsi="Arial" w:cs="Arial"/>
          <w:highlight w:val="yellow"/>
        </w:rPr>
        <w:t>Karta má identifikovat nejvýznamnější rozvojové projekty a určit odpovědnost jednotlivých úrovní veřejné správy za jejich přípravu, financování a realizaci.</w:t>
      </w:r>
      <w:r w:rsidRPr="00ED1319">
        <w:rPr>
          <w:rFonts w:ascii="Arial" w:hAnsi="Arial" w:cs="Arial"/>
        </w:rPr>
        <w:t xml:space="preserve"> Má tedy spojovat strategické plánování s konkrétními investičními závazky. </w:t>
      </w:r>
    </w:p>
    <w:p w14:paraId="62309F2F" w14:textId="77777777" w:rsidR="00ED1319" w:rsidRPr="00ED1319" w:rsidRDefault="00ED1319" w:rsidP="00B6377F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Vedle Karty rozvoje počítá návrh s </w:t>
      </w:r>
      <w:r w:rsidRPr="00B6377F">
        <w:rPr>
          <w:rFonts w:ascii="Arial" w:hAnsi="Arial" w:cs="Arial"/>
          <w:highlight w:val="green"/>
        </w:rPr>
        <w:t xml:space="preserve">nadlokální strategií rozvoje svazku a s </w:t>
      </w:r>
      <w:r w:rsidRPr="00B6377F">
        <w:rPr>
          <w:rFonts w:ascii="Arial" w:hAnsi="Arial" w:cs="Arial"/>
          <w:b/>
          <w:bCs/>
          <w:highlight w:val="green"/>
        </w:rPr>
        <w:t>plánem udržitelné městské mobility – SUMP</w:t>
      </w:r>
      <w:r w:rsidRPr="00B6377F">
        <w:rPr>
          <w:rFonts w:ascii="Arial" w:hAnsi="Arial" w:cs="Arial"/>
          <w:highlight w:val="green"/>
        </w:rPr>
        <w:t>.</w:t>
      </w:r>
      <w:r w:rsidRPr="00ED1319">
        <w:rPr>
          <w:rFonts w:ascii="Arial" w:hAnsi="Arial" w:cs="Arial"/>
        </w:rPr>
        <w:t xml:space="preserve"> Karta rozvoje je upravena v navrhovaných článcích 75–77, nadlokální strategie v článcích 78–84 a SUMP v článcích 85–89. Pokud rozvojový svazek nevznikne, může být Karta rozvoje připravena přímo pro centrální město a jeho funkční území. </w:t>
      </w:r>
      <w:r w:rsidRPr="00B6377F">
        <w:rPr>
          <w:rFonts w:ascii="Arial" w:hAnsi="Arial" w:cs="Arial"/>
          <w:highlight w:val="yellow"/>
        </w:rPr>
        <w:t xml:space="preserve">Polský zákon tak má poskytovat institucionální základ pro zpracování SUMP ve spolupráci </w:t>
      </w:r>
      <w:r w:rsidRPr="00B6377F">
        <w:rPr>
          <w:rFonts w:ascii="Arial" w:hAnsi="Arial" w:cs="Arial"/>
          <w:highlight w:val="yellow"/>
        </w:rPr>
        <w:lastRenderedPageBreak/>
        <w:t>více obcí, místo aby plán závisel pouze na smluvních dohodách mezi jednotlivými samosprávami.</w:t>
      </w:r>
      <w:r w:rsidRPr="00ED1319">
        <w:rPr>
          <w:rFonts w:ascii="Arial" w:hAnsi="Arial" w:cs="Arial"/>
        </w:rPr>
        <w:t xml:space="preserve"> </w:t>
      </w:r>
    </w:p>
    <w:p w14:paraId="7E57C761" w14:textId="77777777" w:rsidR="00ED1319" w:rsidRPr="00ED1319" w:rsidRDefault="00ED1319" w:rsidP="00B6377F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cyan"/>
        </w:rPr>
        <w:t>Pro oblast mobility je tato konstrukce významná především tím, že stejný subjekt může současně připravovat SUMP, organizovat veřejnou dopravu, koordinovat investice a jednat se státem a vojvodstvím o financování.</w:t>
      </w:r>
      <w:r w:rsidRPr="00ED1319">
        <w:rPr>
          <w:rFonts w:ascii="Arial" w:hAnsi="Arial" w:cs="Arial"/>
        </w:rPr>
        <w:t xml:space="preserve"> </w:t>
      </w:r>
      <w:r w:rsidRPr="00B6377F">
        <w:rPr>
          <w:rFonts w:ascii="Arial" w:hAnsi="Arial" w:cs="Arial"/>
          <w:highlight w:val="cyan"/>
        </w:rPr>
        <w:t>Návrh tak propojuje plánování mobility s reálnými institucionálními, majetkovými a finančními kompetencemi.</w:t>
      </w:r>
    </w:p>
    <w:p w14:paraId="0888D75E" w14:textId="77777777" w:rsidR="00ED1319" w:rsidRPr="00B6377F" w:rsidRDefault="00ED1319" w:rsidP="00B6377F">
      <w:pPr>
        <w:pStyle w:val="Odstavecseseznamem"/>
        <w:numPr>
          <w:ilvl w:val="0"/>
          <w:numId w:val="3"/>
        </w:numPr>
        <w:spacing w:before="240"/>
        <w:ind w:left="426" w:hanging="426"/>
        <w:rPr>
          <w:rFonts w:ascii="Arial" w:hAnsi="Arial" w:cs="Arial"/>
          <w:b/>
          <w:bCs/>
          <w:color w:val="7030A0"/>
        </w:rPr>
      </w:pPr>
      <w:r w:rsidRPr="00B6377F">
        <w:rPr>
          <w:rFonts w:ascii="Arial" w:hAnsi="Arial" w:cs="Arial"/>
          <w:b/>
          <w:bCs/>
          <w:color w:val="7030A0"/>
        </w:rPr>
        <w:t>Celkové hodnocení</w:t>
      </w:r>
    </w:p>
    <w:p w14:paraId="04BADFD5" w14:textId="77777777" w:rsidR="00ED1319" w:rsidRPr="00ED1319" w:rsidRDefault="00ED1319" w:rsidP="00B6377F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>Polská Legislativní rada hodnotí základní směr návrhu pozitivně. Z</w:t>
      </w:r>
      <w:r w:rsidRPr="00B6377F">
        <w:rPr>
          <w:rFonts w:ascii="Arial" w:hAnsi="Arial" w:cs="Arial"/>
          <w:highlight w:val="yellow"/>
        </w:rPr>
        <w:t>a hlavní přínos považuje vytvoření stabilní právní formy pro řízení funkčních městských území</w:t>
      </w:r>
      <w:r w:rsidRPr="00ED1319">
        <w:rPr>
          <w:rFonts w:ascii="Arial" w:hAnsi="Arial" w:cs="Arial"/>
        </w:rPr>
        <w:t xml:space="preserve">, protože dosavadní dobrovolné dohody, sdružení, komunální svazky a integrované územní investice podle ní neposkytují dostatečné možnosti pro komplexní a dlouhodobé řízení rozvoje. Pozitivně hodnotí rovněž Kartu rozvoje, nadlokální strategii, SUMP a zapojení obyvatel. </w:t>
      </w:r>
    </w:p>
    <w:p w14:paraId="1029A814" w14:textId="77777777" w:rsidR="00ED1319" w:rsidRPr="00ED1319" w:rsidRDefault="00ED1319" w:rsidP="00B6377F">
      <w:pPr>
        <w:jc w:val="both"/>
        <w:rPr>
          <w:rFonts w:ascii="Arial" w:hAnsi="Arial" w:cs="Arial"/>
        </w:rPr>
      </w:pPr>
      <w:r w:rsidRPr="00ED1319">
        <w:rPr>
          <w:rFonts w:ascii="Arial" w:hAnsi="Arial" w:cs="Arial"/>
        </w:rPr>
        <w:t xml:space="preserve">Současně však rada upozorňuje na řadu problémů. Doporučuje přesněji vymezit předmět zákona, </w:t>
      </w:r>
      <w:r w:rsidRPr="00B6377F">
        <w:rPr>
          <w:rFonts w:ascii="Arial" w:hAnsi="Arial" w:cs="Arial"/>
          <w:highlight w:val="yellow"/>
        </w:rPr>
        <w:t>změnit jeho název tak, aby zahrnoval také funkční území a rozvojové svazky</w:t>
      </w:r>
      <w:r w:rsidRPr="00ED1319">
        <w:rPr>
          <w:rFonts w:ascii="Arial" w:hAnsi="Arial" w:cs="Arial"/>
        </w:rPr>
        <w:t xml:space="preserve">, přepracovat některá pravidla jejich zakládání a dozoru a lépe doložit očekávané přínosy a náklady. Kritizuje také samotný polský termín </w:t>
      </w:r>
      <w:proofErr w:type="spellStart"/>
      <w:r w:rsidRPr="00ED1319">
        <w:rPr>
          <w:rFonts w:ascii="Arial" w:hAnsi="Arial" w:cs="Arial"/>
          <w:i/>
          <w:iCs/>
        </w:rPr>
        <w:t>związek</w:t>
      </w:r>
      <w:proofErr w:type="spellEnd"/>
      <w:r w:rsidRPr="00ED1319">
        <w:rPr>
          <w:rFonts w:ascii="Arial" w:hAnsi="Arial" w:cs="Arial"/>
          <w:i/>
          <w:iCs/>
        </w:rPr>
        <w:t xml:space="preserve"> </w:t>
      </w:r>
      <w:proofErr w:type="spellStart"/>
      <w:r w:rsidRPr="00ED1319">
        <w:rPr>
          <w:rFonts w:ascii="Arial" w:hAnsi="Arial" w:cs="Arial"/>
          <w:i/>
          <w:iCs/>
        </w:rPr>
        <w:t>rozwojowy</w:t>
      </w:r>
      <w:proofErr w:type="spellEnd"/>
      <w:r w:rsidRPr="00ED1319">
        <w:rPr>
          <w:rFonts w:ascii="Arial" w:hAnsi="Arial" w:cs="Arial"/>
        </w:rPr>
        <w:t xml:space="preserve"> jako jazykově nepříliš srozumitelný. Podle rady se přibližně 90 % normativního obsahu návrhu ve skutečnosti týká právě rozvojových svazků, nikoli obecné definice udržitelného rozvoje měst. </w:t>
      </w:r>
    </w:p>
    <w:p w14:paraId="2921B580" w14:textId="77777777" w:rsidR="00ED1319" w:rsidRPr="00ED1319" w:rsidRDefault="00ED1319" w:rsidP="00B6377F">
      <w:pPr>
        <w:jc w:val="both"/>
        <w:rPr>
          <w:rFonts w:ascii="Arial" w:hAnsi="Arial" w:cs="Arial"/>
        </w:rPr>
      </w:pPr>
      <w:r w:rsidRPr="00B6377F">
        <w:rPr>
          <w:rFonts w:ascii="Arial" w:hAnsi="Arial" w:cs="Arial"/>
          <w:highlight w:val="cyan"/>
        </w:rPr>
        <w:t>Návrh představuje poměrně zásadní reformu polské městské politiky.</w:t>
      </w:r>
      <w:r w:rsidRPr="00ED1319">
        <w:rPr>
          <w:rFonts w:ascii="Arial" w:hAnsi="Arial" w:cs="Arial"/>
        </w:rPr>
        <w:t xml:space="preserve"> Jeho podstatou není pouze podpora jednotlivých měst, ale </w:t>
      </w:r>
      <w:r w:rsidRPr="00B6377F">
        <w:rPr>
          <w:rFonts w:ascii="Arial" w:hAnsi="Arial" w:cs="Arial"/>
          <w:highlight w:val="cyan"/>
        </w:rPr>
        <w:t>vytvoření právně, finančně a organizačně stabilních celků odpovídajících skutečným funkčním vztahům mezi městem, předměstskými obcemi a širším spádovým územím.</w:t>
      </w:r>
      <w:r w:rsidRPr="00ED1319">
        <w:rPr>
          <w:rFonts w:ascii="Arial" w:hAnsi="Arial" w:cs="Arial"/>
        </w:rPr>
        <w:t xml:space="preserve"> </w:t>
      </w:r>
      <w:r w:rsidRPr="00B6377F">
        <w:rPr>
          <w:rFonts w:ascii="Arial" w:hAnsi="Arial" w:cs="Arial"/>
          <w:highlight w:val="magenta"/>
        </w:rPr>
        <w:t>Pro SUMP je nejdůležitější, že plán udržitelné mobility má být začleněn do širšího systému společného strategického plánování, organizace dopravy a koordinace investic. Konečná podoba těchto pravidel se však ještě může během dalšího legislativního procesu změnit.</w:t>
      </w:r>
    </w:p>
    <w:p w14:paraId="3F33318C" w14:textId="77777777" w:rsidR="00805D01" w:rsidRPr="00ED1319" w:rsidRDefault="00805D01">
      <w:pPr>
        <w:rPr>
          <w:rFonts w:ascii="Arial" w:hAnsi="Arial" w:cs="Arial"/>
        </w:rPr>
      </w:pPr>
    </w:p>
    <w:sectPr w:rsidR="00805D01" w:rsidRPr="00ED1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A57"/>
    <w:multiLevelType w:val="multilevel"/>
    <w:tmpl w:val="A2E01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F7369"/>
    <w:multiLevelType w:val="multilevel"/>
    <w:tmpl w:val="9862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16B35"/>
    <w:multiLevelType w:val="hybridMultilevel"/>
    <w:tmpl w:val="35F44C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749279">
    <w:abstractNumId w:val="0"/>
  </w:num>
  <w:num w:numId="2" w16cid:durableId="419330885">
    <w:abstractNumId w:val="1"/>
  </w:num>
  <w:num w:numId="3" w16cid:durableId="1297952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19"/>
    <w:rsid w:val="003F2600"/>
    <w:rsid w:val="005E0C7E"/>
    <w:rsid w:val="00805D01"/>
    <w:rsid w:val="00880EDF"/>
    <w:rsid w:val="00B6377F"/>
    <w:rsid w:val="00ED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A0AC"/>
  <w15:chartTrackingRefBased/>
  <w15:docId w15:val="{3E42A5B1-AB27-42D4-8267-C3FB1CC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1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1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1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1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1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1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1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1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1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1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1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1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131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131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13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13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13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13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1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1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1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1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1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13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13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131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1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131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13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1197</Words>
  <Characters>7067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Dovolil</dc:creator>
  <cp:keywords/>
  <dc:description/>
  <cp:lastModifiedBy>Petr Dovolil</cp:lastModifiedBy>
  <cp:revision>2</cp:revision>
  <dcterms:created xsi:type="dcterms:W3CDTF">2026-07-21T11:18:00Z</dcterms:created>
  <dcterms:modified xsi:type="dcterms:W3CDTF">2026-07-21T11:26:00Z</dcterms:modified>
</cp:coreProperties>
</file>