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3D" w:rsidRPr="00194F3D" w:rsidRDefault="00194F3D" w:rsidP="00194F3D">
      <w:pPr>
        <w:shd w:val="clear" w:color="auto" w:fill="FFFFFF"/>
        <w:spacing w:after="225" w:line="450" w:lineRule="atLeast"/>
        <w:textAlignment w:val="baseline"/>
        <w:outlineLvl w:val="2"/>
        <w:rPr>
          <w:rFonts w:ascii="inherit" w:eastAsia="Times New Roman" w:hAnsi="inherit" w:cs="Arial"/>
          <w:color w:val="0092AA"/>
          <w:sz w:val="24"/>
          <w:szCs w:val="24"/>
          <w:lang w:eastAsia="cs-CZ"/>
        </w:rPr>
      </w:pPr>
      <w:r w:rsidRPr="00194F3D">
        <w:rPr>
          <w:rFonts w:ascii="inherit" w:eastAsia="Times New Roman" w:hAnsi="inherit" w:cs="Arial"/>
          <w:color w:val="0092AA"/>
          <w:sz w:val="24"/>
          <w:szCs w:val="24"/>
          <w:lang w:eastAsia="cs-CZ"/>
        </w:rPr>
        <w:fldChar w:fldCharType="begin"/>
      </w:r>
      <w:r w:rsidRPr="00194F3D">
        <w:rPr>
          <w:rFonts w:ascii="inherit" w:eastAsia="Times New Roman" w:hAnsi="inherit" w:cs="Arial"/>
          <w:color w:val="0092AA"/>
          <w:sz w:val="24"/>
          <w:szCs w:val="24"/>
          <w:lang w:eastAsia="cs-CZ"/>
        </w:rPr>
        <w:instrText xml:space="preserve"> HYPERLINK "https://ecf.com/news-and-events/news/six-measures-make-european-roads-safer-cyclists" </w:instrText>
      </w:r>
      <w:r w:rsidRPr="00194F3D">
        <w:rPr>
          <w:rFonts w:ascii="inherit" w:eastAsia="Times New Roman" w:hAnsi="inherit" w:cs="Arial"/>
          <w:color w:val="0092AA"/>
          <w:sz w:val="24"/>
          <w:szCs w:val="24"/>
          <w:lang w:eastAsia="cs-CZ"/>
        </w:rPr>
        <w:fldChar w:fldCharType="separate"/>
      </w:r>
      <w:r w:rsidRPr="00194F3D">
        <w:rPr>
          <w:rStyle w:val="Hypertextovodkaz"/>
          <w:rFonts w:ascii="inherit" w:eastAsia="Times New Roman" w:hAnsi="inherit" w:cs="Arial"/>
          <w:sz w:val="24"/>
          <w:szCs w:val="24"/>
          <w:lang w:eastAsia="cs-CZ"/>
        </w:rPr>
        <w:t>https://ecf.com/news-and-events/news/six-measures-make-european-roads-safer-cyclists</w:t>
      </w:r>
      <w:r w:rsidRPr="00194F3D">
        <w:rPr>
          <w:rFonts w:ascii="inherit" w:eastAsia="Times New Roman" w:hAnsi="inherit" w:cs="Arial"/>
          <w:color w:val="0092AA"/>
          <w:sz w:val="24"/>
          <w:szCs w:val="24"/>
          <w:lang w:eastAsia="cs-CZ"/>
        </w:rPr>
        <w:fldChar w:fldCharType="end"/>
      </w:r>
    </w:p>
    <w:p w:rsidR="00194F3D" w:rsidRPr="00194F3D" w:rsidRDefault="00194F3D" w:rsidP="00194F3D">
      <w:pPr>
        <w:shd w:val="clear" w:color="auto" w:fill="FFFFFF"/>
        <w:spacing w:after="225" w:line="450" w:lineRule="atLeast"/>
        <w:textAlignment w:val="baseline"/>
        <w:outlineLvl w:val="2"/>
        <w:rPr>
          <w:rFonts w:ascii="inherit" w:eastAsia="Times New Roman" w:hAnsi="inherit" w:cs="Arial"/>
          <w:color w:val="0092AA"/>
          <w:sz w:val="42"/>
          <w:szCs w:val="42"/>
          <w:lang w:eastAsia="cs-CZ"/>
        </w:rPr>
      </w:pPr>
      <w:r>
        <w:rPr>
          <w:rFonts w:ascii="inherit" w:eastAsia="Times New Roman" w:hAnsi="inherit" w:cs="Arial" w:hint="eastAsia"/>
          <w:color w:val="0092AA"/>
          <w:sz w:val="42"/>
          <w:szCs w:val="42"/>
          <w:lang w:eastAsia="cs-CZ"/>
        </w:rPr>
        <w:t>Š</w:t>
      </w:r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 xml:space="preserve">est opatření, díky kterým </w:t>
      </w:r>
      <w:r w:rsidR="001F3F3B"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>mohou být</w:t>
      </w:r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 xml:space="preserve"> evropské </w:t>
      </w:r>
      <w:bookmarkStart w:id="0" w:name="_GoBack"/>
      <w:bookmarkEnd w:id="0"/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>silnice pro cyklisty bezpečnější</w:t>
      </w:r>
    </w:p>
    <w:p w:rsidR="00194F3D" w:rsidRPr="00194F3D" w:rsidRDefault="00194F3D" w:rsidP="00194F3D">
      <w:pPr>
        <w:spacing w:after="0" w:line="288" w:lineRule="atLeast"/>
        <w:textAlignment w:val="baseline"/>
        <w:outlineLvl w:val="1"/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</w:pPr>
      <w:r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 xml:space="preserve">Autorka </w:t>
      </w:r>
      <w:hyperlink r:id="rId6" w:tooltip="View user profile." w:history="1">
        <w:proofErr w:type="spellStart"/>
        <w:r w:rsidRPr="00194F3D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>Ceri</w:t>
        </w:r>
        <w:proofErr w:type="spellEnd"/>
        <w:r w:rsidRPr="00194F3D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 xml:space="preserve"> </w:t>
        </w:r>
        <w:proofErr w:type="spellStart"/>
        <w:r w:rsidRPr="00194F3D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>Woolsgrove</w:t>
        </w:r>
        <w:proofErr w:type="spellEnd"/>
      </w:hyperlink>
    </w:p>
    <w:p w:rsidR="00194F3D" w:rsidRPr="00194F3D" w:rsidRDefault="00194F3D" w:rsidP="00194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4F3D">
        <w:rPr>
          <w:rFonts w:ascii="Arial" w:eastAsia="Times New Roman" w:hAnsi="Arial" w:cs="Arial"/>
          <w:color w:val="777777"/>
          <w:sz w:val="21"/>
          <w:szCs w:val="21"/>
          <w:shd w:val="clear" w:color="auto" w:fill="FFFFFF"/>
          <w:lang w:eastAsia="cs-CZ"/>
        </w:rPr>
        <w:t> </w:t>
      </w:r>
    </w:p>
    <w:p w:rsidR="00194F3D" w:rsidRPr="00194F3D" w:rsidRDefault="00194F3D" w:rsidP="00194F3D">
      <w:pPr>
        <w:spacing w:after="0" w:line="240" w:lineRule="auto"/>
        <w:textAlignment w:val="baseline"/>
        <w:rPr>
          <w:rFonts w:ascii="inherit" w:eastAsia="Times New Roman" w:hAnsi="inherit" w:cs="Times New Roman"/>
          <w:sz w:val="18"/>
          <w:szCs w:val="18"/>
          <w:lang w:eastAsia="cs-CZ"/>
        </w:rPr>
      </w:pPr>
      <w:r w:rsidRPr="00194F3D">
        <w:rPr>
          <w:rFonts w:ascii="inherit" w:eastAsia="Times New Roman" w:hAnsi="inherit" w:cs="Times New Roman"/>
          <w:sz w:val="18"/>
          <w:szCs w:val="18"/>
          <w:lang w:eastAsia="cs-CZ"/>
        </w:rPr>
        <w:t> </w:t>
      </w:r>
    </w:p>
    <w:p w:rsidR="00194F3D" w:rsidRPr="00194F3D" w:rsidRDefault="00194F3D" w:rsidP="00194F3D">
      <w:pPr>
        <w:spacing w:after="0" w:line="240" w:lineRule="auto"/>
        <w:textAlignment w:val="baseline"/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</w:pPr>
      <w:r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>12. 9.</w:t>
      </w:r>
      <w:r w:rsidRPr="00194F3D"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 xml:space="preserve"> 2017</w:t>
      </w:r>
    </w:p>
    <w:p w:rsidR="00194F3D" w:rsidRPr="00194F3D" w:rsidRDefault="00013C14" w:rsidP="00194F3D">
      <w:pPr>
        <w:shd w:val="clear" w:color="auto" w:fill="FFFFFF"/>
        <w:spacing w:after="0" w:line="450" w:lineRule="atLeast"/>
        <w:textAlignment w:val="baseline"/>
        <w:outlineLvl w:val="4"/>
        <w:rPr>
          <w:rFonts w:ascii="inherit" w:eastAsia="Times New Roman" w:hAnsi="inherit" w:cs="Arial"/>
          <w:color w:val="333333"/>
          <w:sz w:val="24"/>
          <w:szCs w:val="24"/>
          <w:lang w:eastAsia="cs-CZ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ECF vítá iniciativu Evropské komise </w:t>
      </w:r>
      <w:r w:rsidR="001F3F3B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připravit</w:t>
      </w:r>
      <w:r w:rsidR="00AD7DED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lepší regulační rámec pro řízení bezpečnosti silniční infrastruktury se zaměřením na opatření týkající se ochrany cyklistů a chodců. </w:t>
      </w:r>
      <w:r w:rsidR="001F3F3B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ECF b</w:t>
      </w:r>
      <w:r w:rsidR="00837EC2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ěhem veřejného projednání navrhla několik opatření, která </w:t>
      </w:r>
      <w:r w:rsidR="00837EC2" w:rsidRPr="001F3F3B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by byla součástí případné revize dvou evropských směrnic. Dále ECF vytvořila </w:t>
      </w:r>
      <w:hyperlink r:id="rId7" w:tgtFrame="_blank" w:history="1">
        <w:r w:rsidR="001F3F3B" w:rsidRPr="001F3F3B">
          <w:rPr>
            <w:rFonts w:ascii="inherit" w:eastAsia="Times New Roman" w:hAnsi="inherit" w:cs="Arial"/>
            <w:color w:val="0092AA"/>
            <w:sz w:val="24"/>
            <w:szCs w:val="24"/>
            <w:u w:val="single"/>
            <w:bdr w:val="none" w:sz="0" w:space="0" w:color="auto" w:frame="1"/>
            <w:lang w:eastAsia="cs-CZ"/>
          </w:rPr>
          <w:t>Po</w:t>
        </w:r>
        <w:r w:rsidR="001F3F3B" w:rsidRPr="001F3F3B">
          <w:rPr>
            <w:rFonts w:ascii="inherit" w:eastAsia="Times New Roman" w:hAnsi="inherit" w:cs="Arial"/>
            <w:color w:val="0092AA"/>
            <w:sz w:val="24"/>
            <w:szCs w:val="24"/>
            <w:u w:val="single"/>
            <w:bdr w:val="none" w:sz="0" w:space="0" w:color="auto" w:frame="1"/>
            <w:lang w:eastAsia="cs-CZ"/>
          </w:rPr>
          <w:t>ziční dokument</w:t>
        </w:r>
      </w:hyperlink>
      <w:r w:rsidR="001F3F3B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s </w:t>
      </w:r>
      <w:r w:rsidR="00837EC2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návrhy, jak lépe začlenit bezpečnost cyklistů do těchto směrnic.</w:t>
      </w:r>
    </w:p>
    <w:p w:rsidR="00194F3D" w:rsidRDefault="00194F3D" w:rsidP="00194F3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777777"/>
          <w:sz w:val="21"/>
          <w:szCs w:val="21"/>
          <w:lang w:eastAsia="cs-CZ"/>
        </w:rPr>
      </w:pPr>
      <w:r w:rsidRPr="00194F3D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 </w:t>
      </w:r>
      <w:r w:rsidR="00936ADF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 xml:space="preserve">Evropská komise zvažuje případnou revizi Směrnice 2008/96/EC </w:t>
      </w:r>
      <w:r w:rsidR="00F669AF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o řízení bezpečnosti silniční infrastruktury</w:t>
      </w:r>
      <w:r w:rsidR="00EC2B84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 xml:space="preserve"> a Směrnice 2004/54/EC o bezpečnosti silničních </w:t>
      </w:r>
      <w:r w:rsidR="00EC2B84" w:rsidRPr="00FC5334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 xml:space="preserve">tunelů. Současná evropská legislativa </w:t>
      </w:r>
      <w:r w:rsidR="00864842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pokrývá</w:t>
      </w:r>
      <w:r w:rsidR="00EC2B84" w:rsidRPr="00FC5334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 xml:space="preserve"> dopravní komunikace a tunely v rámci </w:t>
      </w:r>
      <w:hyperlink r:id="rId8" w:tgtFrame="_blank" w:history="1">
        <w:r w:rsidR="00EC2B84" w:rsidRPr="00FC5334">
          <w:rPr>
            <w:rFonts w:ascii="inherit" w:eastAsia="Times New Roman" w:hAnsi="inherit" w:cs="Arial"/>
            <w:color w:val="0092AA"/>
            <w:sz w:val="21"/>
            <w:szCs w:val="21"/>
            <w:u w:val="single"/>
            <w:bdr w:val="none" w:sz="0" w:space="0" w:color="auto" w:frame="1"/>
            <w:lang w:eastAsia="cs-CZ"/>
          </w:rPr>
          <w:t>Trans-</w:t>
        </w:r>
        <w:proofErr w:type="spellStart"/>
        <w:r w:rsidR="00EC2B84" w:rsidRPr="00FC5334">
          <w:rPr>
            <w:rFonts w:ascii="inherit" w:eastAsia="Times New Roman" w:hAnsi="inherit" w:cs="Arial"/>
            <w:color w:val="0092AA"/>
            <w:sz w:val="21"/>
            <w:szCs w:val="21"/>
            <w:u w:val="single"/>
            <w:bdr w:val="none" w:sz="0" w:space="0" w:color="auto" w:frame="1"/>
            <w:lang w:eastAsia="cs-CZ"/>
          </w:rPr>
          <w:t>European</w:t>
        </w:r>
        <w:proofErr w:type="spellEnd"/>
        <w:r w:rsidR="00EC2B84" w:rsidRPr="00FC5334">
          <w:rPr>
            <w:rFonts w:ascii="inherit" w:eastAsia="Times New Roman" w:hAnsi="inherit" w:cs="Arial"/>
            <w:color w:val="0092AA"/>
            <w:sz w:val="21"/>
            <w:szCs w:val="21"/>
            <w:u w:val="single"/>
            <w:bdr w:val="none" w:sz="0" w:space="0" w:color="auto" w:frame="1"/>
            <w:lang w:eastAsia="cs-CZ"/>
          </w:rPr>
          <w:t xml:space="preserve"> Transport Network / Transevropské dopravní sítě (TEN-T)</w:t>
        </w:r>
      </w:hyperlink>
      <w:r w:rsidR="00EC2B84" w:rsidRPr="00FC5334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, tedy sítě vý</w:t>
      </w:r>
      <w:r w:rsidR="00864842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znamných dopravních komunikací na území</w:t>
      </w:r>
      <w:r w:rsidR="00EC2B84" w:rsidRPr="00FC5334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 EU. Návrhy pro revizi jsou mj. následující:</w:t>
      </w:r>
    </w:p>
    <w:p w:rsidR="00EC2B84" w:rsidRDefault="00EC2B84" w:rsidP="00EC2B84">
      <w:pPr>
        <w:pStyle w:val="Odstavecseseznamem"/>
        <w:numPr>
          <w:ilvl w:val="0"/>
          <w:numId w:val="2"/>
        </w:num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777777"/>
          <w:sz w:val="21"/>
          <w:szCs w:val="21"/>
          <w:lang w:eastAsia="cs-CZ"/>
        </w:rPr>
      </w:pPr>
      <w:r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rozšíření působnosti těchto směrnic i na další dopravní komunikace;</w:t>
      </w:r>
    </w:p>
    <w:p w:rsidR="00EC2B84" w:rsidRDefault="00FC5334" w:rsidP="00EC2B84">
      <w:pPr>
        <w:pStyle w:val="Odstavecseseznamem"/>
        <w:numPr>
          <w:ilvl w:val="0"/>
          <w:numId w:val="2"/>
        </w:num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777777"/>
          <w:sz w:val="21"/>
          <w:szCs w:val="21"/>
          <w:lang w:eastAsia="cs-CZ"/>
        </w:rPr>
      </w:pPr>
      <w:r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zavedení minimálních požadavků např. na provedení dopravního značení a značek;</w:t>
      </w:r>
    </w:p>
    <w:p w:rsidR="00FC5334" w:rsidRPr="00EC2B84" w:rsidRDefault="00FC5334" w:rsidP="00EC2B84">
      <w:pPr>
        <w:pStyle w:val="Odstavecseseznamem"/>
        <w:numPr>
          <w:ilvl w:val="0"/>
          <w:numId w:val="2"/>
        </w:num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777777"/>
          <w:sz w:val="21"/>
          <w:szCs w:val="21"/>
          <w:lang w:eastAsia="cs-CZ"/>
        </w:rPr>
      </w:pPr>
      <w:r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vyšší ochrana zranitelných účastníků dopravního provozu (např. cyklistů a chodců).</w:t>
      </w:r>
    </w:p>
    <w:p w:rsidR="00FC5334" w:rsidRDefault="00FC5334" w:rsidP="00194F3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Ačkoliv dopravní síť TEN-T </w:t>
      </w:r>
      <w:r w:rsidR="00864842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se týká především dálkové motorové dopravy</w:t>
      </w:r>
      <w:r w:rsidR="00E107B3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, projekty sítě, které jsou zaměřené na rekonstrukci a spadají do působnosti uvedené směrnice, často ovlivňují – jak pozitivně, tak negativně - i cyklistickou infrastrukturu a bezpečnost cyklistů až do vzdálenosti několika kilometrů od realizovaného projektu.</w:t>
      </w:r>
      <w:r w:rsidR="00E71745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ECF a její členské organizace vedly a stále vedou kampaň za začlenění cyklistické infrastruktury do určitých projektů, nebo o její udržení v těchto projektech. Od roku 2014 obsahují </w:t>
      </w:r>
      <w:r w:rsidR="00B654AA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Pokyny pro</w:t>
      </w:r>
      <w:r w:rsidR="00E71745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TEN-T doporučení pro využívání </w:t>
      </w:r>
      <w:r w:rsidR="00E71745" w:rsidRPr="00E71745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synergií mezi projekty TEN-T a „cyklistickou infrastrukturou pro dálkové cyklotrasy, jako jsou </w:t>
      </w:r>
      <w:hyperlink r:id="rId9" w:tgtFrame="_blank" w:history="1">
        <w:r w:rsidR="00E71745" w:rsidRPr="00E71745">
          <w:rPr>
            <w:rFonts w:ascii="inherit" w:eastAsia="Times New Roman" w:hAnsi="inherit" w:cs="Arial"/>
            <w:color w:val="0092AA"/>
            <w:sz w:val="21"/>
            <w:szCs w:val="21"/>
            <w:u w:val="single"/>
            <w:bdr w:val="none" w:sz="0" w:space="0" w:color="auto" w:frame="1"/>
            <w:lang w:eastAsia="cs-CZ"/>
          </w:rPr>
          <w:t xml:space="preserve">trasy </w:t>
        </w:r>
        <w:proofErr w:type="spellStart"/>
        <w:r w:rsidR="00E71745" w:rsidRPr="00E71745">
          <w:rPr>
            <w:rFonts w:ascii="inherit" w:eastAsia="Times New Roman" w:hAnsi="inherit" w:cs="Arial"/>
            <w:color w:val="0092AA"/>
            <w:sz w:val="21"/>
            <w:szCs w:val="21"/>
            <w:u w:val="single"/>
            <w:bdr w:val="none" w:sz="0" w:space="0" w:color="auto" w:frame="1"/>
            <w:lang w:eastAsia="cs-CZ"/>
          </w:rPr>
          <w:t>EuroVelo</w:t>
        </w:r>
        <w:proofErr w:type="spellEnd"/>
      </w:hyperlink>
      <w:r w:rsidR="00E71745" w:rsidRPr="00E71745">
        <w:rPr>
          <w:rFonts w:ascii="inherit" w:eastAsia="Times New Roman" w:hAnsi="inherit" w:cs="Arial"/>
          <w:color w:val="777777"/>
          <w:sz w:val="21"/>
          <w:szCs w:val="21"/>
          <w:lang w:eastAsia="cs-CZ"/>
        </w:rPr>
        <w:t>”. </w:t>
      </w:r>
    </w:p>
    <w:p w:rsidR="00E71745" w:rsidRPr="00194F3D" w:rsidRDefault="00B654AA" w:rsidP="00194F3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Směrnice doporučuje, aby bezpečnostní postupy byly nepovinně aplikovány i na dopra</w:t>
      </w:r>
      <w:r w:rsidR="00CC05C6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vní komunikace mimo síť TEN-T. T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o znamená, že v budoucích projektech silniční infrastruktury bude značný prostor pro – ať už povinné, nebo dobrovolné - začlenění cyklistické infrastruktury.</w:t>
      </w:r>
    </w:p>
    <w:p w:rsidR="00B654AA" w:rsidRDefault="00CC05C6" w:rsidP="00194F3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V období od 14. 6. d</w:t>
      </w:r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o 10. 9. 2017 Evropská komise </w:t>
      </w:r>
      <w:r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pořádala</w:t>
      </w:r>
      <w:r w:rsidR="00267159"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hyperlink r:id="rId10" w:tgtFrame="_blank" w:history="1">
        <w:r w:rsidR="00621D28" w:rsidRPr="00621D28">
          <w:rPr>
            <w:rFonts w:ascii="inherit" w:eastAsia="Times New Roman" w:hAnsi="inherit" w:cs="Arial"/>
            <w:color w:val="0092AA"/>
            <w:sz w:val="21"/>
            <w:szCs w:val="21"/>
            <w:bdr w:val="none" w:sz="0" w:space="0" w:color="auto" w:frame="1"/>
            <w:lang w:eastAsia="cs-CZ"/>
          </w:rPr>
          <w:t>veřejnou konzultaci</w:t>
        </w:r>
      </w:hyperlink>
      <w:r w:rsidR="00621D28" w:rsidRPr="00621D28">
        <w:rPr>
          <w:rFonts w:ascii="inherit" w:eastAsia="Times New Roman" w:hAnsi="inherit" w:cs="Arial"/>
          <w:color w:val="0092AA"/>
          <w:sz w:val="21"/>
          <w:szCs w:val="21"/>
          <w:bdr w:val="none" w:sz="0" w:space="0" w:color="auto" w:frame="1"/>
          <w:lang w:eastAsia="cs-CZ"/>
        </w:rPr>
        <w:t xml:space="preserve"> </w:t>
      </w:r>
      <w:r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jako součást posouzení dopadů případných změn</w:t>
      </w:r>
      <w:r w:rsidR="00267159"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. ECF se do konzultace</w:t>
      </w:r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také zapojila a na základě práce odborné skupiny v rámci přípravy </w:t>
      </w:r>
      <w:proofErr w:type="spellStart"/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Cyklostrategie</w:t>
      </w:r>
      <w:proofErr w:type="spellEnd"/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EU navrhla </w:t>
      </w:r>
      <w:r w:rsidR="00285712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v pozičním dokumentu </w:t>
      </w:r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několik opatření, která by měla být součástí 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s</w:t>
      </w:r>
      <w:r w:rsidR="00267159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měrnice. </w:t>
      </w:r>
      <w:r w:rsidR="00285712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Zde jsou uvedena nejdůležitější doporučení:</w:t>
      </w:r>
    </w:p>
    <w:p w:rsidR="00285712" w:rsidRDefault="00285712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zajištění bezpečných, pohodlných a přímých </w:t>
      </w: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tras pro aktivní mobilitu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r w:rsidR="00CE1F23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–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r w:rsidR="00CE1F23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funkční propojení rezidenčních a zaměstnaneckých zón </w:t>
      </w:r>
      <w:r w:rsidR="00CE1F23"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podél rekonstruovaných i nově budovaných silnic.</w:t>
      </w:r>
    </w:p>
    <w:p w:rsidR="00CE1F23" w:rsidRDefault="00CE1F23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Dostatečně hustá síť </w:t>
      </w: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bezpečných a pohodlných přechodů a přejezdů přes rekonstruované i nově budované silnice.</w:t>
      </w:r>
    </w:p>
    <w:p w:rsidR="00CE1F23" w:rsidRDefault="00CE1F23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Modernizace dalších dopravních komunikací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, které jsou rekonstrukcí nebo budováním zasaženy, </w:t>
      </w: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podle bezpečnostních norem.</w:t>
      </w:r>
    </w:p>
    <w:p w:rsidR="00CE1F23" w:rsidRDefault="00CE1F23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Bezpečné možnosti pro aktivní mobilitu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nebo atraktivní alternativy </w:t>
      </w: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pro tunely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.</w:t>
      </w:r>
    </w:p>
    <w:p w:rsidR="00CE1F23" w:rsidRDefault="00F44354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lastRenderedPageBreak/>
        <w:t>Minimální požadavky na kvalitu cyklistické infrastruktury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.</w:t>
      </w:r>
    </w:p>
    <w:p w:rsidR="00F44354" w:rsidRDefault="00F44354" w:rsidP="00285712">
      <w:pPr>
        <w:pStyle w:val="Odstavecseseznamem"/>
        <w:numPr>
          <w:ilvl w:val="1"/>
          <w:numId w:val="1"/>
        </w:num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Začlenění cyklistické infrastruktury</w:t>
      </w:r>
      <w:r w:rsidRPr="00621D28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 xml:space="preserve"> do školení a certifikace auditorů bezpečnosti silničního provozu.</w:t>
      </w:r>
    </w:p>
    <w:p w:rsidR="00F44354" w:rsidRDefault="00A20F2F" w:rsidP="00F44354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ECF se domnívá, že zavedení těchto opatření by zvýšilo bezpečnost chodců a cyklistů, protože by umožnilo naplno využít možnosti, které nabíz</w:t>
      </w:r>
      <w:r w:rsid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ej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í nově vybudované nebo rekonstruované dopravní komunikace a tunely, jež spadají do působnosti RISM and </w:t>
      </w:r>
      <w:proofErr w:type="spellStart"/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Tunnel</w:t>
      </w:r>
      <w:proofErr w:type="spellEnd"/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Direct</w:t>
      </w:r>
      <w:r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ives</w:t>
      </w:r>
      <w:proofErr w:type="spellEnd"/>
      <w:r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.</w:t>
      </w:r>
      <w:r w:rsid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Jak ukázaly</w:t>
      </w:r>
      <w:r w:rsidR="00621D28"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hyperlink r:id="rId11" w:tgtFrame="_blank" w:history="1">
        <w:r w:rsidR="00621D28">
          <w:rPr>
            <w:rFonts w:ascii="inherit" w:eastAsia="Times New Roman" w:hAnsi="inherit" w:cs="Arial"/>
            <w:color w:val="0092AA"/>
            <w:sz w:val="21"/>
            <w:szCs w:val="21"/>
            <w:bdr w:val="none" w:sz="0" w:space="0" w:color="auto" w:frame="1"/>
            <w:lang w:eastAsia="cs-CZ"/>
          </w:rPr>
          <w:t>v</w:t>
        </w:r>
        <w:r w:rsidR="00621D28" w:rsidRPr="00621D28">
          <w:rPr>
            <w:rFonts w:ascii="inherit" w:eastAsia="Times New Roman" w:hAnsi="inherit" w:cs="Arial"/>
            <w:color w:val="0092AA"/>
            <w:sz w:val="21"/>
            <w:szCs w:val="21"/>
            <w:bdr w:val="none" w:sz="0" w:space="0" w:color="auto" w:frame="1"/>
            <w:lang w:eastAsia="cs-CZ"/>
          </w:rPr>
          <w:t>ýsledky konzultace provedené Komisí</w:t>
        </w:r>
      </w:hyperlink>
      <w:r w:rsid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,</w:t>
      </w:r>
      <w:r w:rsidRP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vysoký počet respondentů souhlasí s tím,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že ochrana „zranitelných účastníků dopravního provozu“ je významnou nutností.</w:t>
      </w:r>
    </w:p>
    <w:p w:rsidR="00F44354" w:rsidRPr="00F44354" w:rsidRDefault="00A20F2F" w:rsidP="00F44354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Dále čtěte:</w:t>
      </w:r>
    </w:p>
    <w:p w:rsidR="00194F3D" w:rsidRDefault="00A20F2F" w:rsidP="00194F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92AA"/>
          <w:sz w:val="21"/>
          <w:szCs w:val="21"/>
          <w:bdr w:val="none" w:sz="0" w:space="0" w:color="auto" w:frame="1"/>
          <w:lang w:eastAsia="cs-CZ"/>
        </w:rPr>
      </w:pPr>
      <w:hyperlink r:id="rId12" w:history="1"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ECF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Position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on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the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EU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regulatory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framework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for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Road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Infrastructure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</w:t>
        </w:r>
        <w:proofErr w:type="spellStart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>Safety</w:t>
        </w:r>
        <w:proofErr w:type="spellEnd"/>
        <w:r w:rsidR="00194F3D" w:rsidRPr="00194F3D">
          <w:rPr>
            <w:rFonts w:ascii="inherit" w:eastAsia="Times New Roman" w:hAnsi="inherit" w:cs="Arial"/>
            <w:b/>
            <w:bCs/>
            <w:color w:val="0092AA"/>
            <w:sz w:val="21"/>
            <w:szCs w:val="21"/>
            <w:bdr w:val="none" w:sz="0" w:space="0" w:color="auto" w:frame="1"/>
            <w:lang w:eastAsia="cs-CZ"/>
          </w:rPr>
          <w:t xml:space="preserve"> Management</w:t>
        </w:r>
      </w:hyperlink>
    </w:p>
    <w:p w:rsidR="00755EF7" w:rsidRPr="00194F3D" w:rsidRDefault="00621D28" w:rsidP="00194F3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inherit" w:eastAsia="Times New Roman" w:hAnsi="inherit" w:cs="Arial"/>
          <w:b/>
          <w:bCs/>
          <w:color w:val="0092AA"/>
          <w:sz w:val="21"/>
          <w:szCs w:val="21"/>
          <w:bdr w:val="none" w:sz="0" w:space="0" w:color="auto" w:frame="1"/>
          <w:lang w:eastAsia="cs-CZ"/>
        </w:rPr>
        <w:t>(</w:t>
      </w:r>
      <w:r w:rsidR="00755EF7">
        <w:rPr>
          <w:rFonts w:ascii="inherit" w:eastAsia="Times New Roman" w:hAnsi="inherit" w:cs="Arial"/>
          <w:b/>
          <w:bCs/>
          <w:color w:val="0092AA"/>
          <w:sz w:val="21"/>
          <w:szCs w:val="21"/>
          <w:bdr w:val="none" w:sz="0" w:space="0" w:color="auto" w:frame="1"/>
          <w:lang w:eastAsia="cs-CZ"/>
        </w:rPr>
        <w:t xml:space="preserve">Stanovisko ECF k regulačnímu rámci </w:t>
      </w:r>
      <w:r w:rsidR="00CA6FD4">
        <w:rPr>
          <w:rFonts w:ascii="inherit" w:eastAsia="Times New Roman" w:hAnsi="inherit" w:cs="Arial"/>
          <w:b/>
          <w:bCs/>
          <w:color w:val="0092AA"/>
          <w:sz w:val="21"/>
          <w:szCs w:val="21"/>
          <w:bdr w:val="none" w:sz="0" w:space="0" w:color="auto" w:frame="1"/>
          <w:lang w:eastAsia="cs-CZ"/>
        </w:rPr>
        <w:t>EU pro řízení bezpečnosti silniční infrastruktury</w:t>
      </w:r>
      <w:r>
        <w:rPr>
          <w:rFonts w:ascii="inherit" w:eastAsia="Times New Roman" w:hAnsi="inherit" w:cs="Arial"/>
          <w:b/>
          <w:bCs/>
          <w:color w:val="0092AA"/>
          <w:sz w:val="21"/>
          <w:szCs w:val="21"/>
          <w:bdr w:val="none" w:sz="0" w:space="0" w:color="auto" w:frame="1"/>
          <w:lang w:eastAsia="cs-CZ"/>
        </w:rPr>
        <w:t>)</w:t>
      </w:r>
    </w:p>
    <w:p w:rsidR="00870518" w:rsidRDefault="00870518"/>
    <w:p w:rsidR="00CA6FD4" w:rsidRPr="00CA6FD4" w:rsidRDefault="00CA6FD4" w:rsidP="00194F3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</w:pPr>
      <w:r w:rsidRPr="00CA6FD4">
        <w:rPr>
          <w:rFonts w:ascii="Arial" w:eastAsia="Times New Roman" w:hAnsi="Arial" w:cs="Arial"/>
          <w:b/>
          <w:color w:val="777777"/>
          <w:sz w:val="21"/>
          <w:szCs w:val="21"/>
          <w:lang w:eastAsia="cs-CZ"/>
        </w:rPr>
        <w:t>Bezpečnější infrastruktura pro cyklisty</w:t>
      </w:r>
    </w:p>
    <w:p w:rsidR="00CA6FD4" w:rsidRPr="00194F3D" w:rsidRDefault="00CA6FD4" w:rsidP="00194F3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Budeme vás průběžně informovat o celém procesu</w:t>
      </w:r>
      <w:r w:rsidR="00621D28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a přinášet 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průběžné a aktuální údaje o tom, kde a jak projekty v síti TEN-T ovlivňují cyklistickou infrastrukturu na území EU.</w:t>
      </w:r>
    </w:p>
    <w:p w:rsidR="00194F3D" w:rsidRPr="00194F3D" w:rsidRDefault="00194F3D" w:rsidP="00194F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bdr w:val="none" w:sz="0" w:space="0" w:color="auto" w:frame="1"/>
          <w:shd w:val="clear" w:color="auto" w:fill="ECECEC"/>
          <w:lang w:eastAsia="cs-CZ"/>
        </w:rPr>
      </w:pPr>
      <w:r>
        <w:rPr>
          <w:rFonts w:ascii="inherit" w:eastAsia="Times New Roman" w:hAnsi="inherit" w:cs="Arial"/>
          <w:noProof/>
          <w:color w:val="777777"/>
          <w:sz w:val="21"/>
          <w:szCs w:val="21"/>
          <w:bdr w:val="none" w:sz="0" w:space="0" w:color="auto" w:frame="1"/>
          <w:shd w:val="clear" w:color="auto" w:fill="ECECEC"/>
          <w:lang w:eastAsia="cs-CZ"/>
        </w:rPr>
        <w:drawing>
          <wp:inline distT="0" distB="0" distL="0" distR="0">
            <wp:extent cx="5219603" cy="2933700"/>
            <wp:effectExtent l="0" t="0" r="635" b="0"/>
            <wp:docPr id="1" name="Obrázek 1" descr="TEN-T infrastructure projects often include construction of many kilometres of lower-class roads for access to housing, fields, maintenance and emergency purposes. These roads typically carry little traffic and for a small cost they can be connected by short sections of cycling paths to form a continuous link for active mobi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N-T infrastructure projects often include construction of many kilometres of lower-class roads for access to housing, fields, maintenance and emergency purposes. These roads typically carry little traffic and for a small cost they can be connected by short sections of cycling paths to form a continuous link for active mobility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603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D4" w:rsidRDefault="00EA5ABF" w:rsidP="00194F3D">
      <w:pPr>
        <w:spacing w:after="0" w:line="240" w:lineRule="auto"/>
        <w:textAlignment w:val="baseline"/>
        <w:rPr>
          <w:rFonts w:ascii="inherit" w:eastAsia="Times New Roman" w:hAnsi="inherit" w:cs="Times New Roman"/>
          <w:sz w:val="21"/>
          <w:szCs w:val="21"/>
          <w:bdr w:val="none" w:sz="0" w:space="0" w:color="auto" w:frame="1"/>
          <w:shd w:val="clear" w:color="auto" w:fill="ECECEC"/>
          <w:lang w:eastAsia="cs-CZ"/>
        </w:rPr>
      </w:pPr>
      <w:r>
        <w:rPr>
          <w:rFonts w:ascii="inherit" w:eastAsia="Times New Roman" w:hAnsi="inherit" w:cs="Times New Roman"/>
          <w:sz w:val="21"/>
          <w:szCs w:val="21"/>
          <w:bdr w:val="none" w:sz="0" w:space="0" w:color="auto" w:frame="1"/>
          <w:shd w:val="clear" w:color="auto" w:fill="ECECEC"/>
          <w:lang w:eastAsia="cs-CZ"/>
        </w:rPr>
        <w:t>Projekty TEN-T</w:t>
      </w:r>
      <w:r w:rsidR="009D190C">
        <w:rPr>
          <w:rFonts w:ascii="inherit" w:eastAsia="Times New Roman" w:hAnsi="inherit" w:cs="Times New Roman"/>
          <w:sz w:val="21"/>
          <w:szCs w:val="21"/>
          <w:bdr w:val="none" w:sz="0" w:space="0" w:color="auto" w:frame="1"/>
          <w:shd w:val="clear" w:color="auto" w:fill="ECECEC"/>
          <w:lang w:eastAsia="cs-CZ"/>
        </w:rPr>
        <w:t xml:space="preserve"> často zahrnují i výstavbu dopravních komunikací nižší třídy, které slouží jako příjezdové cesty k</w:t>
      </w:r>
      <w:r w:rsidR="00621D28">
        <w:rPr>
          <w:rFonts w:ascii="inherit" w:eastAsia="Times New Roman" w:hAnsi="inherit" w:cs="Times New Roman"/>
          <w:sz w:val="21"/>
          <w:szCs w:val="21"/>
          <w:bdr w:val="none" w:sz="0" w:space="0" w:color="auto" w:frame="1"/>
          <w:shd w:val="clear" w:color="auto" w:fill="ECECEC"/>
          <w:lang w:eastAsia="cs-CZ"/>
        </w:rPr>
        <w:t> rezidenčním zónám</w:t>
      </w:r>
      <w:r w:rsidR="009D190C">
        <w:rPr>
          <w:rFonts w:ascii="inherit" w:eastAsia="Times New Roman" w:hAnsi="inherit" w:cs="Times New Roman"/>
          <w:sz w:val="21"/>
          <w:szCs w:val="21"/>
          <w:bdr w:val="none" w:sz="0" w:space="0" w:color="auto" w:frame="1"/>
          <w:shd w:val="clear" w:color="auto" w:fill="ECECEC"/>
          <w:lang w:eastAsia="cs-CZ"/>
        </w:rPr>
        <w:t>, k zemědělským plochám, v krizových momentech nebo pro účely údržby. Na těchto komunikacích bývá velmi slabý provoz, a pokud by došlo k jejich propojení pomocí krátkých úseků cyklostezek, mohly by vytvořit souvislou síť pro aktivní mobilitu. Jde o nízkonákladové opatření.</w:t>
      </w:r>
    </w:p>
    <w:p w:rsidR="00CA6FD4" w:rsidRPr="00194F3D" w:rsidRDefault="00CA6FD4" w:rsidP="00194F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4F3D" w:rsidRDefault="00194F3D"/>
    <w:p w:rsidR="00194F3D" w:rsidRPr="00194F3D" w:rsidRDefault="00194F3D" w:rsidP="00194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676900" cy="3197799"/>
            <wp:effectExtent l="0" t="0" r="0" b="3175"/>
            <wp:docPr id="2" name="Obrázek 2" descr="Section of S8 expressway (part of the North Sea – Baltic corridor, core TEN-T network) equipped with a bicycle path highlighted on Warsaw cycling heatmap. 200-400 cyclists use the path per peak hour. Heatmap credit: European Cycling Challenge 201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ction of S8 expressway (part of the North Sea – Baltic corridor, core TEN-T network) equipped with a bicycle path highlighted on Warsaw cycling heatmap. 200-400 cyclists use the path per peak hour. Heatmap credit: European Cycling Challenge 2017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19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0C" w:rsidRPr="00194F3D" w:rsidRDefault="00030386" w:rsidP="00194F3D">
      <w:pPr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Cyklostezka podél úseku dálnice S8 (součást </w:t>
      </w:r>
      <w:r w:rsidR="00831D1B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S</w:t>
      </w:r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everomořského – baltského koridoru, základní síť TEN-T), zvýrazněná na teplotní </w:t>
      </w:r>
      <w:proofErr w:type="spellStart"/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>cyklomapě</w:t>
      </w:r>
      <w:proofErr w:type="spellEnd"/>
      <w:r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Varšavy. V době dopravní špičky využívá stezku 200-400 cyklistů. </w:t>
      </w:r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Teplotní mapa: </w:t>
      </w:r>
      <w:proofErr w:type="spellStart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European</w:t>
      </w:r>
      <w:proofErr w:type="spellEnd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proofErr w:type="spellStart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Cycling</w:t>
      </w:r>
      <w:proofErr w:type="spellEnd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</w:t>
      </w:r>
      <w:proofErr w:type="spellStart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>Challenge</w:t>
      </w:r>
      <w:proofErr w:type="spellEnd"/>
      <w:r w:rsidR="00872207">
        <w:rPr>
          <w:rFonts w:ascii="Arial" w:eastAsia="Times New Roman" w:hAnsi="Arial" w:cs="Arial"/>
          <w:color w:val="777777"/>
          <w:sz w:val="21"/>
          <w:szCs w:val="21"/>
          <w:lang w:eastAsia="cs-CZ"/>
        </w:rPr>
        <w:t xml:space="preserve"> 2017.</w:t>
      </w:r>
    </w:p>
    <w:p w:rsidR="00194F3D" w:rsidRDefault="00194F3D"/>
    <w:p w:rsidR="00194F3D" w:rsidRPr="00194F3D" w:rsidRDefault="00194F3D" w:rsidP="00194F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777777"/>
          <w:sz w:val="21"/>
          <w:szCs w:val="21"/>
          <w:bdr w:val="none" w:sz="0" w:space="0" w:color="auto" w:frame="1"/>
          <w:shd w:val="clear" w:color="auto" w:fill="ECECEC"/>
          <w:lang w:eastAsia="cs-CZ"/>
        </w:rPr>
      </w:pPr>
      <w:r>
        <w:rPr>
          <w:rFonts w:ascii="inherit" w:eastAsia="Times New Roman" w:hAnsi="inherit" w:cs="Arial"/>
          <w:noProof/>
          <w:color w:val="777777"/>
          <w:sz w:val="21"/>
          <w:szCs w:val="21"/>
          <w:bdr w:val="none" w:sz="0" w:space="0" w:color="auto" w:frame="1"/>
          <w:shd w:val="clear" w:color="auto" w:fill="ECECEC"/>
          <w:lang w:eastAsia="cs-CZ"/>
        </w:rPr>
        <w:drawing>
          <wp:inline distT="0" distB="0" distL="0" distR="0">
            <wp:extent cx="5372100" cy="3021806"/>
            <wp:effectExtent l="0" t="0" r="0" b="7620"/>
            <wp:docPr id="5" name="Obrázek 5" descr="TEN-T roads should not create a barrier for non-motorised traffic. Tunnel under A15 motorway (part of the Rhine-Alpine corridor, core TEN-T network) on RijnWaalpad cycle highway in the Netherlands can be an example of a safe and comfortable cross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N-T roads should not create a barrier for non-motorised traffic. Tunnel under A15 motorway (part of the Rhine-Alpine corridor, core TEN-T network) on RijnWaalpad cycle highway in the Netherlands can be an example of a safe and comfortable crossing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2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07" w:rsidRPr="00194F3D" w:rsidRDefault="00872207" w:rsidP="00194F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Dopravní komunikace sítě TEN-T by </w:t>
      </w:r>
      <w:r w:rsidR="006D25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neměly být překážkou pro bezmotorovou dopravu. Jako příklad bezpečného a pohodlného křížení můžeme uvést tunel pod dálnicí A15 (součást Rýnsko-alpského koridoru, základní síť TEN-T) na </w:t>
      </w:r>
      <w:proofErr w:type="spellStart"/>
      <w:r w:rsidR="006D25F8">
        <w:rPr>
          <w:rFonts w:ascii="Times New Roman" w:eastAsia="Times New Roman" w:hAnsi="Times New Roman" w:cs="Times New Roman"/>
          <w:sz w:val="24"/>
          <w:szCs w:val="24"/>
          <w:lang w:eastAsia="cs-CZ"/>
        </w:rPr>
        <w:t>cyklodálnici</w:t>
      </w:r>
      <w:proofErr w:type="spellEnd"/>
      <w:r w:rsidR="006D25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6D25F8">
        <w:rPr>
          <w:rFonts w:ascii="Times New Roman" w:eastAsia="Times New Roman" w:hAnsi="Times New Roman" w:cs="Times New Roman"/>
          <w:sz w:val="24"/>
          <w:szCs w:val="24"/>
          <w:lang w:eastAsia="cs-CZ"/>
        </w:rPr>
        <w:t>RijnWaalpad</w:t>
      </w:r>
      <w:proofErr w:type="spellEnd"/>
      <w:r w:rsidR="006D25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Holandsku.</w:t>
      </w:r>
    </w:p>
    <w:p w:rsidR="00194F3D" w:rsidRPr="00194F3D" w:rsidRDefault="00194F3D" w:rsidP="00194F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777777"/>
          <w:sz w:val="24"/>
          <w:szCs w:val="24"/>
          <w:lang w:eastAsia="cs-CZ"/>
        </w:rPr>
      </w:pPr>
      <w:r>
        <w:rPr>
          <w:rFonts w:ascii="inherit" w:eastAsia="Times New Roman" w:hAnsi="inherit" w:cs="Arial"/>
          <w:noProof/>
          <w:color w:val="777777"/>
          <w:sz w:val="21"/>
          <w:szCs w:val="21"/>
          <w:bdr w:val="none" w:sz="0" w:space="0" w:color="auto" w:frame="1"/>
          <w:shd w:val="clear" w:color="auto" w:fill="ECECEC"/>
          <w:lang w:eastAsia="cs-CZ"/>
        </w:rPr>
        <w:lastRenderedPageBreak/>
        <w:drawing>
          <wp:inline distT="0" distB="0" distL="0" distR="0">
            <wp:extent cx="5248275" cy="5255719"/>
            <wp:effectExtent l="0" t="0" r="0" b="2540"/>
            <wp:docPr id="4" name="Obrázek 4" descr="Entrance to San Giljan tunnel on a TEN-T road in Malta. Cyclists and pedestrians are forced to share a narrow and poorly-lit sidewalk, no alternative route is provided. Picture credit: B.A.G. (Bicycling Advocacy Group Malt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ntrance to San Giljan tunnel on a TEN-T road in Malta. Cyclists and pedestrians are forced to share a narrow and poorly-lit sidewalk, no alternative route is provided. Picture credit: B.A.G. (Bicycling Advocacy Group Malta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2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3D" w:rsidRDefault="001F3F3B" w:rsidP="00194F3D">
      <w:pPr>
        <w:spacing w:after="0" w:line="240" w:lineRule="auto"/>
      </w:pPr>
      <w:r>
        <w:t xml:space="preserve">Vstup/vjezd do tunelu San </w:t>
      </w:r>
      <w:proofErr w:type="spellStart"/>
      <w:r>
        <w:t>Giljan</w:t>
      </w:r>
      <w:proofErr w:type="spellEnd"/>
      <w:r>
        <w:t xml:space="preserve"> na dopravní komunikaci sítě TEN-T na Maltě. Pro cyklisty a chodce je k dispozici pouze společný úzký a špatně osvětlený chodník, nic jiného. Foto: </w:t>
      </w:r>
      <w:proofErr w:type="gramStart"/>
      <w:r>
        <w:t>B.A.</w:t>
      </w:r>
      <w:proofErr w:type="gramEnd"/>
      <w:r>
        <w:t>G. (</w:t>
      </w:r>
      <w:proofErr w:type="spellStart"/>
      <w:r>
        <w:t>Bicycling</w:t>
      </w:r>
      <w:proofErr w:type="spellEnd"/>
      <w:r>
        <w:t xml:space="preserve"> </w:t>
      </w:r>
      <w:proofErr w:type="spellStart"/>
      <w:r>
        <w:t>Advocacy</w:t>
      </w:r>
      <w:proofErr w:type="spellEnd"/>
      <w:r>
        <w:t xml:space="preserve"> Group Malta)</w:t>
      </w:r>
    </w:p>
    <w:sectPr w:rsidR="00194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A023B"/>
    <w:multiLevelType w:val="hybridMultilevel"/>
    <w:tmpl w:val="6DCEF2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3713A"/>
    <w:multiLevelType w:val="multilevel"/>
    <w:tmpl w:val="9B1C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1F"/>
    <w:rsid w:val="00013C14"/>
    <w:rsid w:val="00030386"/>
    <w:rsid w:val="00194F3D"/>
    <w:rsid w:val="001F3F3B"/>
    <w:rsid w:val="00267159"/>
    <w:rsid w:val="00285712"/>
    <w:rsid w:val="00326956"/>
    <w:rsid w:val="0049521F"/>
    <w:rsid w:val="00621D28"/>
    <w:rsid w:val="006D25F8"/>
    <w:rsid w:val="00755EF7"/>
    <w:rsid w:val="007D75DD"/>
    <w:rsid w:val="00831D1B"/>
    <w:rsid w:val="00837EC2"/>
    <w:rsid w:val="00864842"/>
    <w:rsid w:val="00870518"/>
    <w:rsid w:val="00872207"/>
    <w:rsid w:val="00936ADF"/>
    <w:rsid w:val="009D190C"/>
    <w:rsid w:val="00A20F2F"/>
    <w:rsid w:val="00AD7DED"/>
    <w:rsid w:val="00B654AA"/>
    <w:rsid w:val="00CA6FD4"/>
    <w:rsid w:val="00CC05C6"/>
    <w:rsid w:val="00CE1F23"/>
    <w:rsid w:val="00E107B3"/>
    <w:rsid w:val="00E71745"/>
    <w:rsid w:val="00EA5ABF"/>
    <w:rsid w:val="00EC2B84"/>
    <w:rsid w:val="00F44354"/>
    <w:rsid w:val="00F669AF"/>
    <w:rsid w:val="00FC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94F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94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194F3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94F3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94F3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194F3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F3D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9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94F3D"/>
    <w:rPr>
      <w:b/>
      <w:bCs/>
    </w:rPr>
  </w:style>
  <w:style w:type="character" w:customStyle="1" w:styleId="Titulek1">
    <w:name w:val="Titulek1"/>
    <w:basedOn w:val="Standardnpsmoodstavce"/>
    <w:rsid w:val="00194F3D"/>
  </w:style>
  <w:style w:type="paragraph" w:styleId="Textbubliny">
    <w:name w:val="Balloon Text"/>
    <w:basedOn w:val="Normln"/>
    <w:link w:val="TextbublinyChar"/>
    <w:uiPriority w:val="99"/>
    <w:semiHidden/>
    <w:unhideWhenUsed/>
    <w:rsid w:val="00194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4F3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C2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94F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94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194F3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94F3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94F3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194F3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F3D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9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94F3D"/>
    <w:rPr>
      <w:b/>
      <w:bCs/>
    </w:rPr>
  </w:style>
  <w:style w:type="character" w:customStyle="1" w:styleId="Titulek1">
    <w:name w:val="Titulek1"/>
    <w:basedOn w:val="Standardnpsmoodstavce"/>
    <w:rsid w:val="00194F3D"/>
  </w:style>
  <w:style w:type="paragraph" w:styleId="Textbubliny">
    <w:name w:val="Balloon Text"/>
    <w:basedOn w:val="Normln"/>
    <w:link w:val="TextbublinyChar"/>
    <w:uiPriority w:val="99"/>
    <w:semiHidden/>
    <w:unhideWhenUsed/>
    <w:rsid w:val="00194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4F3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C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4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7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5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836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1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transport/infrastructure/tentec/tentec-portal/map/maps.html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ecf.com/sites/ecf.com/files/rism_position_paper-ECF.pdf" TargetMode="External"/><Relationship Id="rId12" Type="http://schemas.openxmlformats.org/officeDocument/2006/relationships/hyperlink" Target="https://ecf.com/sites/ecf.com/files/rism_position_paper-ECF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s://ecf.com/users/ceri-woolsgrove" TargetMode="External"/><Relationship Id="rId11" Type="http://schemas.openxmlformats.org/officeDocument/2006/relationships/hyperlink" Target="https://ec.europa.eu/eusurvey/publication/2017-road-infrastructure-safet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ec.europa.eu/transport/modes/road/consultations/2017-road-infrastructure-safet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f.com/what-we-do/european-funding/eurovelo-cycling-and-ten-t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4</Pages>
  <Words>859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Latal</dc:creator>
  <cp:keywords/>
  <dc:description/>
  <cp:lastModifiedBy>Latal</cp:lastModifiedBy>
  <cp:revision>10</cp:revision>
  <dcterms:created xsi:type="dcterms:W3CDTF">2017-09-19T09:28:00Z</dcterms:created>
  <dcterms:modified xsi:type="dcterms:W3CDTF">2017-09-22T10:55:00Z</dcterms:modified>
</cp:coreProperties>
</file>