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C66F" w14:textId="77777777" w:rsidR="009E4A64" w:rsidRDefault="009E4A64" w:rsidP="009E4A64">
      <w:pPr>
        <w:pStyle w:val="Nadpisobsahu"/>
      </w:pPr>
      <w:r>
        <w:t>Nehody: Záchrana životů při rychlosti 30 km/h</w:t>
      </w:r>
    </w:p>
    <w:p w14:paraId="36AF4599" w14:textId="77777777" w:rsidR="009E4A64" w:rsidRDefault="009E4A64" w:rsidP="009E4A64">
      <w:r>
        <w:t>V roce 2017 v Německu bylo v silničním provozu usmrceno 483 chodců a 30 564 jich bylo zraněno, z toho 6 979 těžce. Přestože toto číslo již několik desetiletí klesá, je stále skandálně vysoké.</w:t>
      </w:r>
    </w:p>
    <w:p w14:paraId="7D0DDE0A" w14:textId="77777777" w:rsidR="009E4A64" w:rsidRDefault="009E4A64" w:rsidP="009E4A64">
      <w:r>
        <w:t xml:space="preserve">Skandální jsou také chronické pokusy udělat z chodců viníky mnoha nehod. Podle oficiálních statistik jsou považováni za "hlavní viníky" mnoha nehod, které </w:t>
      </w:r>
      <w:proofErr w:type="gramStart"/>
      <w:r>
        <w:t>utrpí - v</w:t>
      </w:r>
      <w:proofErr w:type="gramEnd"/>
      <w:r>
        <w:t xml:space="preserve"> roce 2017 přesně u 8858 nehod se zraněním a smrtelnými následky ve městech i mimo ně. Z policejních hlášení znáte věty: chůze "bez věnování pozornosti provozu vozidel", "náhlé vykročení mezi překážky v rozhledu", "přecházení vozovky mimo existující přechody" nebo dokonce "účast v provozu pod vlivem alkoholu". Za takové "přestupky" hrozí v Německu trest </w:t>
      </w:r>
      <w:proofErr w:type="gramStart"/>
      <w:r>
        <w:t>smrti - přestože</w:t>
      </w:r>
      <w:proofErr w:type="gramEnd"/>
      <w:r>
        <w:t xml:space="preserve"> je v základním zákoně pro nejzávažnější přestupky od roku 1949 zrušen.</w:t>
      </w:r>
    </w:p>
    <w:p w14:paraId="180C0F36" w14:textId="77777777" w:rsidR="009E4A64" w:rsidRDefault="009E4A64" w:rsidP="009E4A64">
      <w:r>
        <w:t xml:space="preserve">Selhalo mnoho jednotlivců? My to vidíme jinak: jako hrozný, chronický případ systémového </w:t>
      </w:r>
      <w:proofErr w:type="gramStart"/>
      <w:r>
        <w:t>selhání - systému</w:t>
      </w:r>
      <w:proofErr w:type="gramEnd"/>
      <w:r>
        <w:t xml:space="preserve"> vytvořeného člověkem. Většina těchto lidí zemřela a umírá ne proto, že chodí po vozovce. Ale proto, že náš dopravní systém a jeho tvůrci umožňují, aby do nich vozidlo, obvykle automobil, vrazilo smrtící silou.</w:t>
      </w:r>
    </w:p>
    <w:p w14:paraId="21B03B8C" w14:textId="77777777" w:rsidR="009E4A64" w:rsidRDefault="009E4A64" w:rsidP="009E4A64">
      <w:r>
        <w:t>Smrtící síla pochází z rychlosti. Čím rychleji auto při najíždění na chodce jede, tím větší je pravděpodobnost, že chodec zemře:</w:t>
      </w:r>
    </w:p>
    <w:p w14:paraId="00E934CB" w14:textId="77777777" w:rsidR="009E4A64" w:rsidRDefault="009E4A64" w:rsidP="009E4A64">
      <w:r>
        <w:t>Rychlost</w:t>
      </w:r>
      <w:r>
        <w:tab/>
        <w:t xml:space="preserve"> Riziko smrti chodce</w:t>
      </w:r>
    </w:p>
    <w:p w14:paraId="0D9AF570" w14:textId="77777777" w:rsidR="009E4A64" w:rsidRDefault="009E4A64" w:rsidP="009E4A64">
      <w:r>
        <w:t>70</w:t>
      </w:r>
      <w:r>
        <w:tab/>
      </w:r>
      <w:r>
        <w:tab/>
        <w:t xml:space="preserve"> 86 procent</w:t>
      </w:r>
    </w:p>
    <w:p w14:paraId="0CC68B2E" w14:textId="77777777" w:rsidR="009E4A64" w:rsidRDefault="009E4A64" w:rsidP="009E4A64">
      <w:r>
        <w:t>50</w:t>
      </w:r>
      <w:r>
        <w:tab/>
      </w:r>
      <w:r>
        <w:tab/>
        <w:t xml:space="preserve"> 39 procent</w:t>
      </w:r>
    </w:p>
    <w:p w14:paraId="37D6193F" w14:textId="77777777" w:rsidR="009E4A64" w:rsidRDefault="009E4A64" w:rsidP="009E4A64">
      <w:r>
        <w:t>30</w:t>
      </w:r>
      <w:r>
        <w:tab/>
      </w:r>
      <w:r>
        <w:tab/>
        <w:t xml:space="preserve"> 8 procent</w:t>
      </w:r>
    </w:p>
    <w:p w14:paraId="2B936A8E" w14:textId="77777777" w:rsidR="009E4A64" w:rsidRDefault="009E4A64" w:rsidP="009E4A64">
      <w:r>
        <w:t>Zdroj: Spolkové ministerstvo dopravy Rakousko str. 71</w:t>
      </w:r>
    </w:p>
    <w:p w14:paraId="516B9184" w14:textId="77777777" w:rsidR="009E4A64" w:rsidRDefault="009E4A64" w:rsidP="009E4A64">
      <w:r>
        <w:t>Při stejném "špatném chování" chodců je tedy rychlost 50 při nárazu více než čtyřikrát častěji smrtelná než rychlost 30, rychlost 70 dokonce desetkrát častěji. Ve skutečnosti je riziko úmrtí v důsledku překročení rychlosti ještě vyšší. Pokud totiž jedete rychle, zvyšujete také pravděpodobnost, že chodce vůbec srazíte. Čím vyšší je rychlost, tím delší vzdálenost musí řidič ujet, než zastaví:</w:t>
      </w:r>
    </w:p>
    <w:p w14:paraId="26BA5D2E" w14:textId="77777777" w:rsidR="009E4A64" w:rsidRDefault="009E4A64" w:rsidP="009E4A64">
      <w:r>
        <w:t>Rychlost</w:t>
      </w:r>
      <w:r>
        <w:tab/>
        <w:t xml:space="preserve"> Brzdná dráha</w:t>
      </w:r>
    </w:p>
    <w:p w14:paraId="56957A96" w14:textId="77777777" w:rsidR="009E4A64" w:rsidRDefault="009E4A64" w:rsidP="009E4A64">
      <w:r>
        <w:t>70</w:t>
      </w:r>
      <w:r>
        <w:tab/>
      </w:r>
      <w:r>
        <w:tab/>
        <w:t xml:space="preserve"> 51 metrů</w:t>
      </w:r>
    </w:p>
    <w:p w14:paraId="3F8CB445" w14:textId="77777777" w:rsidR="009E4A64" w:rsidRDefault="009E4A64" w:rsidP="009E4A64">
      <w:r>
        <w:t>50</w:t>
      </w:r>
      <w:r>
        <w:tab/>
      </w:r>
      <w:r>
        <w:tab/>
        <w:t xml:space="preserve"> 28 metrů</w:t>
      </w:r>
    </w:p>
    <w:p w14:paraId="13EC8480" w14:textId="77777777" w:rsidR="009E4A64" w:rsidRDefault="009E4A64" w:rsidP="009E4A64">
      <w:r>
        <w:t>30</w:t>
      </w:r>
      <w:r>
        <w:tab/>
      </w:r>
      <w:r>
        <w:tab/>
        <w:t xml:space="preserve"> 13 metrů</w:t>
      </w:r>
    </w:p>
    <w:p w14:paraId="73A3D646" w14:textId="77777777" w:rsidR="009E4A64" w:rsidRDefault="009E4A64" w:rsidP="009E4A64">
      <w:r>
        <w:lastRenderedPageBreak/>
        <w:t xml:space="preserve">Zdroje: VCD (infografika "Brzdná dráha při 30 km/h") a ADAC (str. 1).  </w:t>
      </w:r>
    </w:p>
    <w:p w14:paraId="6F6028F9" w14:textId="77777777" w:rsidR="009E4A64" w:rsidRDefault="009E4A64" w:rsidP="009E4A64">
      <w:r>
        <w:t xml:space="preserve">Vražedný účinek vyšší rychlosti je tedy dvojí: více chodců je </w:t>
      </w:r>
      <w:proofErr w:type="gramStart"/>
      <w:r>
        <w:t>sraženo - a</w:t>
      </w:r>
      <w:proofErr w:type="gramEnd"/>
      <w:r>
        <w:t xml:space="preserve"> více jich zemře. Pokud chodec vstoupí do vozovky 15 metrů před autem, nic se nestane, pokud auto v tu chvíli jede rychlostí 30 km/h. Při rychlosti 50 km/h bude chodec pravděpodobně vážně zraněn a při rychlosti 70 km/h obvykle usmrcen.</w:t>
      </w:r>
    </w:p>
    <w:p w14:paraId="5710C7E0" w14:textId="77777777" w:rsidR="009E4A64" w:rsidRDefault="009E4A64" w:rsidP="009E4A64">
      <w:r>
        <w:t xml:space="preserve">Pokud dopravní politika nechce plánovat „přes mrtvoly“, musí stanovit jiné rychlostní limity: V zastavěných oblastech musí být pravidlem 30 km/h a výjimkou 50 km/h, která musí být individuálně odůvodněna a regulována značkami. Tam, kde není značka, je překročení rychlosti zakázáno. A jsou ulice, kde je i 30 km/h příliš vysoká </w:t>
      </w:r>
      <w:proofErr w:type="gramStart"/>
      <w:r>
        <w:t>rychlost - například</w:t>
      </w:r>
      <w:proofErr w:type="gramEnd"/>
      <w:r>
        <w:t xml:space="preserve"> tam, kde jsou chodníky tak úzké, špatné nebo zablokované, že se dá rozumně postupovat pouze pěšky po vozovce. A samozřejmě v "zónách" pro setkávání a zklidňování dopravy, kde je stejně rychlost chůze pravidlem (podle OLG </w:t>
      </w:r>
      <w:proofErr w:type="spellStart"/>
      <w:r>
        <w:t>Naumburg</w:t>
      </w:r>
      <w:proofErr w:type="spellEnd"/>
      <w:r>
        <w:t xml:space="preserve"> (čj.: 2 Ws 45/17), pro vozidla maximálně 10 km/h), viz např. OLG </w:t>
      </w:r>
      <w:proofErr w:type="spellStart"/>
      <w:r>
        <w:t>Naumburg</w:t>
      </w:r>
      <w:proofErr w:type="spellEnd"/>
      <w:r>
        <w:t xml:space="preserve"> (čj.: 2 Ws 45/17) a OLG </w:t>
      </w:r>
      <w:proofErr w:type="spellStart"/>
      <w:r>
        <w:t>Hamm</w:t>
      </w:r>
      <w:proofErr w:type="spellEnd"/>
      <w:r>
        <w:t xml:space="preserve"> (čj.: 9 U 220/89). Blog právníka částečně zmiňuje nižší rychlosti: "Podle judikatury se za rychlost chůze částečně považuje rychlost 4 až 7 km/h ... OLG </w:t>
      </w:r>
      <w:proofErr w:type="spellStart"/>
      <w:r>
        <w:t>Hamm</w:t>
      </w:r>
      <w:proofErr w:type="spellEnd"/>
      <w:r>
        <w:t xml:space="preserve"> uvádí rozmezí 4 až 10 km/h (VRS 6, 222).".</w:t>
      </w:r>
    </w:p>
    <w:p w14:paraId="39D0BA1C" w14:textId="77777777" w:rsidR="009E4A64" w:rsidRDefault="009E4A64" w:rsidP="009E4A64">
      <w:r>
        <w:t xml:space="preserve">Zpět na běžnou silnici: Pro Tempo 30 jsou zde vysvětleny výhody pro dopravu, životní prostředí, bezpečnost a život ve městě.  Jednou ze zdánlivých nevýhod je, že jízda autem trvá o něco déle. Ale ne o moc: při pětikilometrové cestě městem je často možné jet maximální rychlostí už jen na polovině </w:t>
      </w:r>
      <w:proofErr w:type="gramStart"/>
      <w:r>
        <w:t>trasy - zbytek</w:t>
      </w:r>
      <w:proofErr w:type="gramEnd"/>
      <w:r>
        <w:t xml:space="preserve"> je zrychlování, brzdění, zpomalování v zácpách, otáčení se kolem balíkového vozu nebo jízda v "bočních" ulicích, kde už platí 30 km/h. Pokud se i druhá polovina cesty absolvuje rychlostí 30 místo 50, pak se cesta prodlouží přesně o dvě minuty.</w:t>
      </w:r>
    </w:p>
    <w:p w14:paraId="1780A6EE" w14:textId="77777777" w:rsidR="009E4A64" w:rsidRDefault="009E4A64" w:rsidP="009E4A64">
      <w:r>
        <w:t xml:space="preserve">To je kompenzováno časovými výhodami pro všechny, kteří se dostanou přes silnici snadněji a dříve, kteří potřebují méně paliva ve vozidle a méně se opotřebovávají při rozjezdu. Především by však tyto dvě minuty znamenaly tisíce odvrácených nebo výrazně zmírněných nehod. Velká část z 30 000 chodců, kteří jsou každoročně zraněni a usmrceni, by získala čas a život bez </w:t>
      </w:r>
      <w:proofErr w:type="gramStart"/>
      <w:r>
        <w:t>utrpení - děti</w:t>
      </w:r>
      <w:proofErr w:type="gramEnd"/>
      <w:r>
        <w:t xml:space="preserve"> až do 90 let, které unikly smrti na silnici.</w:t>
      </w:r>
    </w:p>
    <w:p w14:paraId="3D90BB5F" w14:textId="77777777" w:rsidR="009E4A64" w:rsidRDefault="009E4A64" w:rsidP="009E4A64">
      <w:r>
        <w:t>A zdaleka nejde jen o chodce: v roce 2016 zemřelo podle Spolkového statistického úřadu (</w:t>
      </w:r>
      <w:proofErr w:type="spellStart"/>
      <w:proofErr w:type="gramStart"/>
      <w:r>
        <w:t>Verkehrsunfälle</w:t>
      </w:r>
      <w:proofErr w:type="spellEnd"/>
      <w:r>
        <w:t xml:space="preserve"> - </w:t>
      </w:r>
      <w:proofErr w:type="spellStart"/>
      <w:r>
        <w:t>Fachserie</w:t>
      </w:r>
      <w:proofErr w:type="spellEnd"/>
      <w:proofErr w:type="gramEnd"/>
      <w:r>
        <w:t xml:space="preserve"> 8 </w:t>
      </w:r>
      <w:proofErr w:type="spellStart"/>
      <w:r>
        <w:t>Reihe</w:t>
      </w:r>
      <w:proofErr w:type="spellEnd"/>
      <w:r>
        <w:t xml:space="preserve"> 7. 4. 2018 s. 131) v zastavěných oblastech 425 lidí v autech. Zraněno bylo 152 396 osob, z toho 19 245 těžce. Samozřejmě chceme, aby i cestující v autech dojeli bezpečně a nepřišli o život při nehodách způsobených nepřiměřenou rychlostí. A aby nikdo nemusel chodit s břemenem, které mnozí nesou ještě dnes: více než polovinu všech nehod srážek s chodci zaviní řidiči, a to i podle běžných statistik nehodovosti.</w:t>
      </w:r>
    </w:p>
    <w:p w14:paraId="2165C986" w14:textId="77777777" w:rsidR="009E4A64" w:rsidRDefault="009E4A64" w:rsidP="009E4A64">
      <w:r>
        <w:t>Další prostředky proti nehodám kromě Tempo 30 jsou zde.</w:t>
      </w:r>
      <w:r>
        <w:t xml:space="preserve"> </w:t>
      </w:r>
    </w:p>
    <w:p w14:paraId="74710D37" w14:textId="3A81D219" w:rsidR="009E4A64" w:rsidRDefault="009E4A64" w:rsidP="009E4A64">
      <w:r w:rsidRPr="009E4A64">
        <w:lastRenderedPageBreak/>
        <w:t>https://fuss-ev.de/regeln-konflikte/unfall-vorbeugung</w:t>
      </w:r>
    </w:p>
    <w:p w14:paraId="2A31BB3D" w14:textId="77777777" w:rsidR="009E4A64" w:rsidRDefault="009E4A64" w:rsidP="009E4A64"/>
    <w:p w14:paraId="3014F1CA" w14:textId="58F0D53F" w:rsidR="009E4A64" w:rsidRDefault="009E4A64" w:rsidP="009E4A64">
      <w:r>
        <w:t xml:space="preserve">Překlad pomocí </w:t>
      </w:r>
      <w:r>
        <w:t xml:space="preserve">překladače </w:t>
      </w:r>
      <w:proofErr w:type="spellStart"/>
      <w:r>
        <w:t>Deepl</w:t>
      </w:r>
      <w:proofErr w:type="spellEnd"/>
      <w:r>
        <w:t xml:space="preserve"> </w:t>
      </w:r>
    </w:p>
    <w:p w14:paraId="36298221" w14:textId="58E05E03" w:rsidR="00EC794F" w:rsidRDefault="009E4A64" w:rsidP="009E4A64">
      <w:r w:rsidRPr="00DF3A4A">
        <w:t>https://fuss-ev.de/regeln-konflikte/unfaelle-tempo-30</w:t>
      </w:r>
      <w:r w:rsidR="00F12837" w:rsidRPr="00F12837">
        <w:t xml:space="preserve"> </w:t>
      </w:r>
    </w:p>
    <w:sectPr w:rsidR="00EC794F" w:rsidSect="007669D9">
      <w:headerReference w:type="default" r:id="rId8"/>
      <w:footerReference w:type="default" r:id="rId9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6309" w14:textId="77777777" w:rsidR="002659B1" w:rsidRDefault="002659B1" w:rsidP="00324ED3">
      <w:r>
        <w:separator/>
      </w:r>
    </w:p>
  </w:endnote>
  <w:endnote w:type="continuationSeparator" w:id="0">
    <w:p w14:paraId="26A3DB2B" w14:textId="77777777" w:rsidR="002659B1" w:rsidRDefault="002659B1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632B" w14:textId="77777777" w:rsidR="002659B1" w:rsidRDefault="002659B1" w:rsidP="00324ED3">
      <w:r>
        <w:separator/>
      </w:r>
    </w:p>
  </w:footnote>
  <w:footnote w:type="continuationSeparator" w:id="0">
    <w:p w14:paraId="607A0661" w14:textId="77777777" w:rsidR="002659B1" w:rsidRDefault="002659B1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10145A"/>
    <w:rsid w:val="002659B1"/>
    <w:rsid w:val="002776AD"/>
    <w:rsid w:val="002B2E8B"/>
    <w:rsid w:val="002D6CFB"/>
    <w:rsid w:val="002D7A8C"/>
    <w:rsid w:val="00314E51"/>
    <w:rsid w:val="00324ED3"/>
    <w:rsid w:val="003D4BFB"/>
    <w:rsid w:val="00441478"/>
    <w:rsid w:val="0057627A"/>
    <w:rsid w:val="0058739A"/>
    <w:rsid w:val="005C3038"/>
    <w:rsid w:val="007669D9"/>
    <w:rsid w:val="008447FF"/>
    <w:rsid w:val="008B1623"/>
    <w:rsid w:val="008B7260"/>
    <w:rsid w:val="008C536C"/>
    <w:rsid w:val="008E4273"/>
    <w:rsid w:val="009E4A64"/>
    <w:rsid w:val="00A55793"/>
    <w:rsid w:val="00A55EE6"/>
    <w:rsid w:val="00A77424"/>
    <w:rsid w:val="00AD2A7B"/>
    <w:rsid w:val="00AF7C97"/>
    <w:rsid w:val="00B16083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2023-10-20T08:31:00Z</dcterms:created>
  <dcterms:modified xsi:type="dcterms:W3CDTF">2023-10-20T08:31:00Z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